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 xml:space="preserve"> </w:t>
      </w:r>
    </w:p>
    <w:p>
      <w:pPr>
        <w:autoSpaceDE/>
        <w:autoSpaceDN/>
        <w:adjustRightInd/>
        <w:snapToGrid w:val="0"/>
        <w:spacing w:line="243" w:lineRule="atLeast"/>
        <w:ind w:firstLine="0" w:firstLineChars="0"/>
        <w:jc w:val="both"/>
        <w:textAlignment w:val="baseline"/>
        <w:rPr>
          <w:rFonts w:eastAsia="黑体"/>
          <w:color w:val="000000"/>
          <w:sz w:val="32"/>
          <w:szCs w:val="32"/>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510" w:lineRule="atLeast"/>
        <w:ind w:firstLine="0" w:firstLineChars="0"/>
        <w:jc w:val="center"/>
        <w:textAlignment w:val="baseline"/>
        <w:rPr>
          <w:rFonts w:ascii="方正小标宋简体" w:eastAsia="方正小标宋简体"/>
          <w:color w:val="000000"/>
          <w:sz w:val="44"/>
          <w:szCs w:val="44"/>
          <w:u w:color="000000"/>
        </w:rPr>
      </w:pPr>
      <w:r>
        <w:rPr>
          <w:rFonts w:hint="eastAsia" w:ascii="方正小标宋简体" w:eastAsia="方正小标宋简体"/>
          <w:color w:val="000000"/>
          <w:sz w:val="44"/>
          <w:szCs w:val="44"/>
          <w:u w:color="000000"/>
        </w:rPr>
        <w:t>浙江省高等教育十三五第一批</w:t>
      </w:r>
    </w:p>
    <w:p>
      <w:pPr>
        <w:autoSpaceDE/>
        <w:autoSpaceDN/>
        <w:adjustRightInd/>
        <w:snapToGrid w:val="0"/>
        <w:spacing w:line="510" w:lineRule="atLeast"/>
        <w:ind w:firstLine="0" w:firstLineChars="0"/>
        <w:jc w:val="center"/>
        <w:textAlignment w:val="baseline"/>
        <w:rPr>
          <w:rFonts w:ascii="方正小标宋简体" w:eastAsia="方正小标宋简体"/>
          <w:color w:val="000000"/>
          <w:sz w:val="44"/>
          <w:szCs w:val="44"/>
          <w:u w:color="000000"/>
        </w:rPr>
      </w:pPr>
      <w:r>
        <w:rPr>
          <w:rFonts w:hint="eastAsia" w:ascii="方正小标宋简体" w:eastAsia="方正小标宋简体"/>
          <w:color w:val="000000"/>
          <w:sz w:val="44"/>
          <w:szCs w:val="44"/>
          <w:u w:color="000000"/>
        </w:rPr>
        <w:t>教学改革研究项目</w:t>
      </w:r>
    </w:p>
    <w:p>
      <w:pPr>
        <w:autoSpaceDE/>
        <w:autoSpaceDN/>
        <w:adjustRightInd/>
        <w:snapToGrid w:val="0"/>
        <w:spacing w:line="532" w:lineRule="atLeast"/>
        <w:ind w:firstLine="0" w:firstLineChars="0"/>
        <w:jc w:val="center"/>
        <w:textAlignment w:val="baseline"/>
        <w:rPr>
          <w:color w:val="000000"/>
          <w:u w:color="000000"/>
        </w:rPr>
      </w:pPr>
    </w:p>
    <w:p>
      <w:pPr>
        <w:autoSpaceDE/>
        <w:autoSpaceDN/>
        <w:adjustRightInd/>
        <w:snapToGrid w:val="0"/>
        <w:spacing w:line="510" w:lineRule="atLeast"/>
        <w:ind w:firstLine="0" w:firstLineChars="0"/>
        <w:jc w:val="center"/>
        <w:textAlignment w:val="baseline"/>
        <w:rPr>
          <w:color w:val="000000"/>
          <w:u w:color="000000"/>
        </w:rPr>
      </w:pPr>
      <w:r>
        <w:rPr>
          <w:rFonts w:hint="eastAsia" w:eastAsia="黑体"/>
          <w:color w:val="000000"/>
          <w:sz w:val="36"/>
          <w:u w:color="000000"/>
        </w:rPr>
        <w:t>申请书</w:t>
      </w: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243" w:lineRule="atLeast"/>
        <w:ind w:firstLine="0" w:firstLineChars="0"/>
        <w:jc w:val="center"/>
        <w:textAlignment w:val="baseline"/>
        <w:rPr>
          <w:color w:val="000000"/>
          <w:u w:color="000000"/>
        </w:rPr>
      </w:pPr>
    </w:p>
    <w:p>
      <w:pPr>
        <w:autoSpaceDE/>
        <w:autoSpaceDN/>
        <w:adjustRightInd/>
        <w:snapToGrid w:val="0"/>
        <w:spacing w:line="532" w:lineRule="atLeast"/>
        <w:ind w:firstLine="565" w:firstLineChars="202"/>
        <w:jc w:val="both"/>
        <w:textAlignment w:val="baseline"/>
        <w:rPr>
          <w:rFonts w:eastAsia="仿宋_GB2312"/>
          <w:color w:val="000000"/>
          <w:sz w:val="28"/>
          <w:u w:val="single"/>
        </w:rPr>
      </w:pPr>
      <w:r>
        <w:rPr>
          <w:rFonts w:hint="eastAsia" w:eastAsia="仿宋_GB2312"/>
          <w:color w:val="000000"/>
          <w:sz w:val="28"/>
          <w:u w:color="000000"/>
        </w:rPr>
        <w:t>项目名称：</w:t>
      </w:r>
      <w:r>
        <w:rPr>
          <w:rFonts w:hint="eastAsia" w:eastAsia="仿宋_GB2312"/>
          <w:color w:val="000000"/>
          <w:sz w:val="28"/>
          <w:u w:val="single"/>
        </w:rPr>
        <w:t xml:space="preserve">浙江省独立学院教学经费投入运行 </w:t>
      </w:r>
    </w:p>
    <w:p>
      <w:pPr>
        <w:autoSpaceDE/>
        <w:autoSpaceDN/>
        <w:adjustRightInd/>
        <w:snapToGrid w:val="0"/>
        <w:spacing w:line="532" w:lineRule="atLeast"/>
        <w:ind w:firstLine="1817" w:firstLineChars="649"/>
        <w:jc w:val="both"/>
        <w:textAlignment w:val="baseline"/>
        <w:rPr>
          <w:rFonts w:eastAsia="仿宋_GB2312"/>
          <w:b/>
          <w:color w:val="000000"/>
          <w:sz w:val="28"/>
          <w:szCs w:val="28"/>
          <w:u w:val="single"/>
        </w:rPr>
      </w:pPr>
      <w:r>
        <w:rPr>
          <w:rFonts w:hint="eastAsia" w:eastAsia="仿宋_GB2312"/>
          <w:color w:val="000000"/>
          <w:sz w:val="28"/>
          <w:u w:val="single"/>
        </w:rPr>
        <w:t xml:space="preserve">         保障机制的研究         </w:t>
      </w:r>
    </w:p>
    <w:p>
      <w:pPr>
        <w:autoSpaceDE/>
        <w:autoSpaceDN/>
        <w:adjustRightInd/>
        <w:snapToGrid w:val="0"/>
        <w:spacing w:line="532" w:lineRule="atLeast"/>
        <w:ind w:firstLine="565" w:firstLineChars="202"/>
        <w:jc w:val="both"/>
        <w:textAlignment w:val="baseline"/>
        <w:rPr>
          <w:rFonts w:eastAsia="仿宋_GB2312"/>
          <w:color w:val="000000"/>
          <w:sz w:val="28"/>
          <w:u w:val="single"/>
        </w:rPr>
      </w:pPr>
      <w:r>
        <w:rPr>
          <w:rFonts w:hint="eastAsia" w:eastAsia="仿宋_GB2312"/>
          <w:color w:val="000000"/>
          <w:sz w:val="28"/>
          <w:u w:color="000000"/>
        </w:rPr>
        <w:t xml:space="preserve">申 请 人： </w:t>
      </w:r>
      <w:r>
        <w:rPr>
          <w:rFonts w:hint="eastAsia" w:eastAsia="仿宋_GB2312"/>
          <w:color w:val="000000"/>
          <w:sz w:val="28"/>
          <w:u w:val="single"/>
        </w:rPr>
        <w:t xml:space="preserve">           陈 金 友           </w:t>
      </w:r>
    </w:p>
    <w:p>
      <w:pPr>
        <w:autoSpaceDE/>
        <w:autoSpaceDN/>
        <w:adjustRightInd/>
        <w:snapToGrid w:val="0"/>
        <w:spacing w:line="532" w:lineRule="atLeast"/>
        <w:ind w:firstLine="554" w:firstLineChars="198"/>
        <w:jc w:val="both"/>
        <w:textAlignment w:val="baseline"/>
        <w:rPr>
          <w:color w:val="000000"/>
          <w:u w:val="single"/>
        </w:rPr>
      </w:pPr>
      <w:r>
        <w:rPr>
          <w:rFonts w:hint="eastAsia" w:eastAsia="仿宋_GB2312"/>
          <w:color w:val="000000"/>
          <w:sz w:val="28"/>
          <w:u w:color="000000"/>
        </w:rPr>
        <w:t xml:space="preserve">申请学校： </w:t>
      </w:r>
      <w:r>
        <w:rPr>
          <w:rFonts w:hint="eastAsia" w:eastAsia="仿宋_GB2312"/>
          <w:color w:val="000000"/>
          <w:sz w:val="28"/>
          <w:u w:val="single"/>
        </w:rPr>
        <w:t xml:space="preserve">    浙江工业大学之江学院      </w:t>
      </w:r>
    </w:p>
    <w:p>
      <w:pPr>
        <w:autoSpaceDE/>
        <w:autoSpaceDN/>
        <w:adjustRightInd/>
        <w:snapToGrid w:val="0"/>
        <w:spacing w:line="532" w:lineRule="atLeast"/>
        <w:ind w:firstLine="565" w:firstLineChars="202"/>
        <w:jc w:val="both"/>
        <w:textAlignment w:val="baseline"/>
        <w:rPr>
          <w:color w:val="000000"/>
          <w:u w:val="single"/>
        </w:rPr>
      </w:pPr>
      <w:r>
        <w:rPr>
          <w:rFonts w:hint="eastAsia" w:eastAsia="仿宋_GB2312"/>
          <w:color w:val="000000"/>
          <w:sz w:val="28"/>
          <w:u w:color="000000"/>
        </w:rPr>
        <w:t xml:space="preserve">通讯地址： </w:t>
      </w:r>
      <w:r>
        <w:rPr>
          <w:rFonts w:hint="eastAsia" w:eastAsia="仿宋_GB2312"/>
          <w:color w:val="000000"/>
          <w:sz w:val="28"/>
          <w:u w:val="single"/>
        </w:rPr>
        <w:t xml:space="preserve"> 绍兴市柯桥区越州大道958号   </w:t>
      </w:r>
    </w:p>
    <w:p>
      <w:pPr>
        <w:autoSpaceDE/>
        <w:autoSpaceDN/>
        <w:adjustRightInd/>
        <w:snapToGrid w:val="0"/>
        <w:spacing w:line="532" w:lineRule="atLeast"/>
        <w:ind w:firstLine="565" w:firstLineChars="202"/>
        <w:jc w:val="both"/>
        <w:textAlignment w:val="baseline"/>
        <w:rPr>
          <w:color w:val="000000"/>
          <w:u w:val="single"/>
        </w:rPr>
      </w:pPr>
      <w:r>
        <w:rPr>
          <w:rFonts w:hint="eastAsia" w:eastAsia="仿宋_GB2312"/>
          <w:color w:val="000000"/>
          <w:sz w:val="28"/>
          <w:u w:color="000000"/>
        </w:rPr>
        <w:t xml:space="preserve">联系电话： </w:t>
      </w:r>
      <w:r>
        <w:rPr>
          <w:rFonts w:hint="eastAsia" w:eastAsia="仿宋_GB2312"/>
          <w:color w:val="000000"/>
          <w:sz w:val="28"/>
          <w:u w:val="single"/>
        </w:rPr>
        <w:t xml:space="preserve">        13819108358           </w:t>
      </w:r>
    </w:p>
    <w:p>
      <w:pPr>
        <w:autoSpaceDE/>
        <w:autoSpaceDN/>
        <w:adjustRightInd/>
        <w:snapToGrid w:val="0"/>
        <w:spacing w:line="532" w:lineRule="atLeast"/>
        <w:ind w:firstLine="565" w:firstLineChars="202"/>
        <w:jc w:val="both"/>
        <w:textAlignment w:val="baseline"/>
        <w:rPr>
          <w:color w:val="000000"/>
          <w:u w:val="single"/>
        </w:rPr>
      </w:pPr>
      <w:r>
        <w:rPr>
          <w:rFonts w:hint="eastAsia" w:eastAsia="仿宋_GB2312"/>
          <w:color w:val="000000"/>
          <w:sz w:val="28"/>
          <w:u w:color="000000"/>
        </w:rPr>
        <w:t xml:space="preserve">电子邮箱： </w:t>
      </w:r>
      <w:r>
        <w:rPr>
          <w:rFonts w:hint="eastAsia" w:eastAsia="仿宋_GB2312"/>
          <w:color w:val="000000"/>
          <w:sz w:val="28"/>
          <w:u w:val="single"/>
        </w:rPr>
        <w:t xml:space="preserve">        </w:t>
      </w:r>
      <w:r>
        <w:fldChar w:fldCharType="begin"/>
      </w:r>
      <w:r>
        <w:instrText xml:space="preserve"> HYPERLINK "mailto:cjy@zjut.edu.cn" </w:instrText>
      </w:r>
      <w:r>
        <w:fldChar w:fldCharType="separate"/>
      </w:r>
      <w:r>
        <w:rPr>
          <w:rStyle w:val="10"/>
          <w:rFonts w:hint="eastAsia" w:eastAsia="仿宋_GB2312"/>
          <w:sz w:val="28"/>
        </w:rPr>
        <w:t>cjy@zjut.edu.cn</w:t>
      </w:r>
      <w:r>
        <w:rPr>
          <w:rStyle w:val="10"/>
          <w:rFonts w:hint="eastAsia" w:eastAsia="仿宋_GB2312"/>
          <w:sz w:val="28"/>
        </w:rPr>
        <w:fldChar w:fldCharType="end"/>
      </w:r>
      <w:r>
        <w:rPr>
          <w:rFonts w:hint="eastAsia" w:eastAsia="仿宋_GB2312"/>
          <w:color w:val="000000"/>
          <w:sz w:val="28"/>
          <w:u w:val="single"/>
        </w:rPr>
        <w:t xml:space="preserve">         </w:t>
      </w:r>
    </w:p>
    <w:p>
      <w:pPr>
        <w:autoSpaceDE/>
        <w:autoSpaceDN/>
        <w:adjustRightInd/>
        <w:snapToGrid w:val="0"/>
        <w:spacing w:line="532" w:lineRule="atLeast"/>
        <w:ind w:firstLine="565" w:firstLineChars="202"/>
        <w:jc w:val="both"/>
        <w:textAlignment w:val="baseline"/>
        <w:rPr>
          <w:rFonts w:eastAsia="仿宋_GB2312"/>
          <w:color w:val="000000"/>
          <w:sz w:val="28"/>
          <w:u w:color="000000"/>
        </w:rPr>
      </w:pPr>
    </w:p>
    <w:p>
      <w:pPr>
        <w:autoSpaceDE/>
        <w:autoSpaceDN/>
        <w:adjustRightInd/>
        <w:snapToGrid w:val="0"/>
        <w:spacing w:line="544" w:lineRule="atLeast"/>
        <w:ind w:firstLine="0" w:firstLineChars="0"/>
        <w:jc w:val="center"/>
        <w:textAlignment w:val="baseline"/>
        <w:rPr>
          <w:color w:val="000000"/>
          <w:u w:color="000000"/>
        </w:rPr>
      </w:pPr>
    </w:p>
    <w:p>
      <w:pPr>
        <w:autoSpaceDE/>
        <w:autoSpaceDN/>
        <w:adjustRightInd/>
        <w:snapToGrid w:val="0"/>
        <w:spacing w:line="544" w:lineRule="atLeast"/>
        <w:ind w:firstLine="0" w:firstLineChars="0"/>
        <w:jc w:val="center"/>
        <w:textAlignment w:val="baseline"/>
        <w:rPr>
          <w:color w:val="000000"/>
          <w:u w:color="000000"/>
        </w:rPr>
      </w:pPr>
    </w:p>
    <w:p>
      <w:pPr>
        <w:autoSpaceDE/>
        <w:autoSpaceDN/>
        <w:adjustRightInd/>
        <w:snapToGrid w:val="0"/>
        <w:spacing w:line="544" w:lineRule="atLeast"/>
        <w:ind w:firstLine="0" w:firstLineChars="0"/>
        <w:jc w:val="center"/>
        <w:textAlignment w:val="baseline"/>
        <w:rPr>
          <w:color w:val="000000"/>
          <w:u w:color="000000"/>
        </w:rPr>
      </w:pPr>
    </w:p>
    <w:p>
      <w:pPr>
        <w:autoSpaceDE/>
        <w:autoSpaceDN/>
        <w:adjustRightInd/>
        <w:snapToGrid w:val="0"/>
        <w:spacing w:line="532" w:lineRule="atLeast"/>
        <w:ind w:firstLine="0" w:firstLineChars="0"/>
        <w:jc w:val="center"/>
        <w:textAlignment w:val="baseline"/>
        <w:rPr>
          <w:color w:val="000000"/>
          <w:sz w:val="32"/>
          <w:szCs w:val="32"/>
          <w:u w:color="000000"/>
        </w:rPr>
      </w:pPr>
      <w:r>
        <w:rPr>
          <w:rFonts w:hint="eastAsia" w:eastAsia="仿宋_GB2312"/>
          <w:color w:val="000000"/>
          <w:sz w:val="32"/>
          <w:szCs w:val="32"/>
          <w:u w:color="000000"/>
        </w:rPr>
        <w:t>浙江省教育厅</w:t>
      </w:r>
    </w:p>
    <w:p>
      <w:pPr>
        <w:autoSpaceDE/>
        <w:autoSpaceDN/>
        <w:adjustRightInd/>
        <w:snapToGrid w:val="0"/>
        <w:spacing w:line="532" w:lineRule="atLeast"/>
        <w:ind w:firstLine="0" w:firstLineChars="0"/>
        <w:jc w:val="center"/>
        <w:textAlignment w:val="baseline"/>
        <w:rPr>
          <w:color w:val="000000"/>
          <w:sz w:val="32"/>
          <w:szCs w:val="32"/>
          <w:u w:color="000000"/>
        </w:rPr>
      </w:pPr>
      <w:r>
        <w:rPr>
          <w:rFonts w:eastAsia="仿宋_GB2312"/>
          <w:color w:val="000000"/>
          <w:sz w:val="32"/>
          <w:szCs w:val="32"/>
          <w:u w:color="000000"/>
        </w:rPr>
        <w:t>2018</w:t>
      </w:r>
      <w:r>
        <w:rPr>
          <w:rFonts w:hint="eastAsia" w:eastAsia="仿宋_GB2312"/>
          <w:color w:val="000000"/>
          <w:sz w:val="32"/>
          <w:szCs w:val="32"/>
          <w:u w:color="000000"/>
        </w:rPr>
        <w:t>年制</w:t>
      </w:r>
    </w:p>
    <w:p>
      <w:pPr>
        <w:autoSpaceDE/>
        <w:autoSpaceDN/>
        <w:adjustRightInd/>
        <w:snapToGrid w:val="0"/>
        <w:spacing w:line="544" w:lineRule="atLeast"/>
        <w:ind w:firstLine="0" w:firstLineChars="0"/>
        <w:jc w:val="both"/>
        <w:textAlignment w:val="baseline"/>
        <w:rPr>
          <w:rFonts w:eastAsia="仿宋_GB2312"/>
          <w:b/>
          <w:color w:val="000000"/>
          <w:sz w:val="28"/>
          <w:u w:color="000000"/>
        </w:rPr>
      </w:pPr>
      <w:r>
        <w:rPr>
          <w:rFonts w:hint="eastAsia" w:eastAsia="仿宋_GB2312"/>
          <w:b/>
          <w:color w:val="000000"/>
          <w:sz w:val="28"/>
          <w:u w:color="000000"/>
        </w:rPr>
        <w:t>一、简表</w:t>
      </w:r>
    </w:p>
    <w:tbl>
      <w:tblPr>
        <w:tblStyle w:val="11"/>
        <w:tblW w:w="9354"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28"/>
        <w:gridCol w:w="1093"/>
        <w:gridCol w:w="123"/>
        <w:gridCol w:w="160"/>
        <w:gridCol w:w="284"/>
        <w:gridCol w:w="142"/>
        <w:gridCol w:w="380"/>
        <w:gridCol w:w="185"/>
        <w:gridCol w:w="569"/>
        <w:gridCol w:w="204"/>
        <w:gridCol w:w="221"/>
        <w:gridCol w:w="142"/>
        <w:gridCol w:w="283"/>
        <w:gridCol w:w="314"/>
        <w:gridCol w:w="117"/>
        <w:gridCol w:w="841"/>
        <w:gridCol w:w="208"/>
        <w:gridCol w:w="33"/>
        <w:gridCol w:w="96"/>
        <w:gridCol w:w="480"/>
        <w:gridCol w:w="481"/>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635"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目</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简</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况</w:t>
            </w:r>
          </w:p>
        </w:tc>
        <w:tc>
          <w:tcPr>
            <w:tcW w:w="1328"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项目名称</w:t>
            </w:r>
          </w:p>
        </w:tc>
        <w:tc>
          <w:tcPr>
            <w:tcW w:w="7391" w:type="dxa"/>
            <w:gridSpan w:val="21"/>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浙江省独立学院教学经费投入运行保障机制的研究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7" w:hRule="atLeast"/>
        </w:trPr>
        <w:tc>
          <w:tcPr>
            <w:tcW w:w="635"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28"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项目类别</w:t>
            </w:r>
          </w:p>
        </w:tc>
        <w:tc>
          <w:tcPr>
            <w:tcW w:w="7391" w:type="dxa"/>
            <w:gridSpan w:val="21"/>
            <w:vAlign w:val="center"/>
          </w:tcPr>
          <w:p>
            <w:pPr>
              <w:autoSpaceDE/>
              <w:autoSpaceDN/>
              <w:adjustRightInd/>
              <w:snapToGrid w:val="0"/>
              <w:spacing w:line="320" w:lineRule="exact"/>
              <w:ind w:firstLine="0" w:firstLineChars="0"/>
              <w:jc w:val="center"/>
              <w:textAlignment w:val="baseline"/>
              <w:rPr>
                <w:color w:val="000000"/>
                <w:szCs w:val="21"/>
                <w:u w:color="000000"/>
              </w:rPr>
            </w:pPr>
            <w:r>
              <w:rPr>
                <w:b/>
                <w:color w:val="000000"/>
                <w:szCs w:val="21"/>
                <w:u w:color="000000"/>
              </w:rPr>
              <w:t>A</w:t>
            </w:r>
            <w:r>
              <w:rPr>
                <w:rFonts w:hint="eastAsia"/>
                <w:color w:val="000000"/>
                <w:szCs w:val="21"/>
                <w:u w:color="000000"/>
              </w:rPr>
              <w:t>、总体研究</w:t>
            </w:r>
            <w:r>
              <w:rPr>
                <w:color w:val="000000"/>
                <w:szCs w:val="21"/>
                <w:u w:color="000000"/>
              </w:rPr>
              <w:t xml:space="preserve">    B</w:t>
            </w:r>
            <w:r>
              <w:rPr>
                <w:rFonts w:hint="eastAsia"/>
                <w:color w:val="000000"/>
                <w:szCs w:val="21"/>
                <w:u w:color="000000"/>
              </w:rPr>
              <w:t>、专业大类</w:t>
            </w:r>
            <w:r>
              <w:rPr>
                <w:color w:val="000000"/>
                <w:szCs w:val="21"/>
                <w:u w:color="000000"/>
              </w:rPr>
              <w:t xml:space="preserve"> </w:t>
            </w:r>
            <w:r>
              <w:rPr>
                <w:rFonts w:hint="eastAsia"/>
                <w:b/>
                <w:color w:val="000000"/>
                <w:szCs w:val="21"/>
                <w:u w:color="000000"/>
              </w:rPr>
              <w:t>√</w:t>
            </w:r>
            <w:r>
              <w:rPr>
                <w:color w:val="000000"/>
                <w:szCs w:val="21"/>
                <w:u w:val="single"/>
              </w:rPr>
              <w:t>C</w:t>
            </w:r>
            <w:r>
              <w:rPr>
                <w:rFonts w:hint="eastAsia"/>
                <w:color w:val="000000"/>
                <w:szCs w:val="21"/>
                <w:u w:val="single"/>
              </w:rPr>
              <w:t>、教学管理</w:t>
            </w:r>
          </w:p>
          <w:p>
            <w:pPr>
              <w:autoSpaceDE/>
              <w:autoSpaceDN/>
              <w:adjustRightInd/>
              <w:snapToGrid w:val="0"/>
              <w:spacing w:line="320" w:lineRule="exact"/>
              <w:ind w:firstLine="0" w:firstLineChars="0"/>
              <w:jc w:val="center"/>
              <w:textAlignment w:val="baseline"/>
              <w:rPr>
                <w:color w:val="000000"/>
                <w:u w:color="000000"/>
              </w:rPr>
            </w:pPr>
            <w:r>
              <w:rPr>
                <w:color w:val="000000"/>
                <w:szCs w:val="21"/>
                <w:u w:color="000000"/>
              </w:rPr>
              <w:t>D</w:t>
            </w:r>
            <w:r>
              <w:rPr>
                <w:rFonts w:hint="eastAsia"/>
                <w:color w:val="000000"/>
                <w:szCs w:val="21"/>
                <w:u w:color="000000"/>
              </w:rPr>
              <w:t>、课程改革</w:t>
            </w:r>
            <w:r>
              <w:rPr>
                <w:color w:val="000000"/>
                <w:szCs w:val="21"/>
                <w:u w:color="000000"/>
              </w:rPr>
              <w:t xml:space="preserve">    E</w:t>
            </w:r>
            <w:r>
              <w:rPr>
                <w:rFonts w:hint="eastAsia"/>
                <w:color w:val="000000"/>
                <w:szCs w:val="21"/>
                <w:u w:color="000000"/>
              </w:rPr>
              <w:t>、实验实践</w:t>
            </w:r>
            <w:r>
              <w:rPr>
                <w:color w:val="000000"/>
                <w:szCs w:val="21"/>
                <w:u w:color="000000"/>
              </w:rPr>
              <w:t xml:space="preserve">  </w:t>
            </w:r>
            <w:r>
              <w:rPr>
                <w:color w:val="FF0000"/>
                <w:szCs w:val="21"/>
                <w:u w:color="000000"/>
              </w:rPr>
              <w:t xml:space="preserve"> </w:t>
            </w:r>
            <w:r>
              <w:rPr>
                <w:color w:val="000000" w:themeColor="text1"/>
                <w:szCs w:val="21"/>
                <w:u w:color="000000"/>
              </w:rPr>
              <w:t>F</w:t>
            </w:r>
            <w:r>
              <w:rPr>
                <w:rFonts w:hint="eastAsia"/>
                <w:color w:val="000000" w:themeColor="text1"/>
                <w:szCs w:val="21"/>
                <w:u w:color="000000"/>
              </w:rPr>
              <w:t>、自选项目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635"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28"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起止年月</w:t>
            </w:r>
          </w:p>
        </w:tc>
        <w:tc>
          <w:tcPr>
            <w:tcW w:w="7391" w:type="dxa"/>
            <w:gridSpan w:val="21"/>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2018年9月至2020年9月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635"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目</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申</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请</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人</w:t>
            </w:r>
          </w:p>
        </w:tc>
        <w:tc>
          <w:tcPr>
            <w:tcW w:w="1328"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姓名</w:t>
            </w:r>
          </w:p>
        </w:tc>
        <w:tc>
          <w:tcPr>
            <w:tcW w:w="2367" w:type="dxa"/>
            <w:gridSpan w:val="7"/>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陈金友</w:t>
            </w:r>
          </w:p>
        </w:tc>
        <w:tc>
          <w:tcPr>
            <w:tcW w:w="994"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性别</w:t>
            </w:r>
          </w:p>
        </w:tc>
        <w:tc>
          <w:tcPr>
            <w:tcW w:w="856"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男</w:t>
            </w:r>
          </w:p>
        </w:tc>
        <w:tc>
          <w:tcPr>
            <w:tcW w:w="1049" w:type="dxa"/>
            <w:gridSpan w:val="2"/>
            <w:tcMar>
              <w:left w:w="57" w:type="dxa"/>
              <w:right w:w="57" w:type="dxa"/>
            </w:tcMar>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出生年月</w:t>
            </w:r>
          </w:p>
        </w:tc>
        <w:tc>
          <w:tcPr>
            <w:tcW w:w="2125" w:type="dxa"/>
            <w:gridSpan w:val="5"/>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1966.10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35"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2704"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专业技术职务</w:t>
            </w:r>
            <w:r>
              <w:rPr>
                <w:color w:val="000000"/>
                <w:u w:color="000000"/>
              </w:rPr>
              <w:t>/</w:t>
            </w:r>
            <w:r>
              <w:rPr>
                <w:rFonts w:hint="eastAsia"/>
                <w:color w:val="000000"/>
                <w:u w:color="000000"/>
              </w:rPr>
              <w:t>行政职务</w:t>
            </w:r>
          </w:p>
        </w:tc>
        <w:tc>
          <w:tcPr>
            <w:tcW w:w="1985" w:type="dxa"/>
            <w:gridSpan w:val="7"/>
            <w:vAlign w:val="center"/>
          </w:tcPr>
          <w:p>
            <w:pPr>
              <w:autoSpaceDE/>
              <w:autoSpaceDN/>
              <w:adjustRightInd/>
              <w:snapToGrid w:val="0"/>
              <w:spacing w:line="320" w:lineRule="exact"/>
              <w:ind w:firstLine="0" w:firstLineChars="0"/>
              <w:jc w:val="center"/>
              <w:textAlignment w:val="baseline"/>
              <w:rPr>
                <w:color w:val="000000"/>
                <w:sz w:val="18"/>
                <w:szCs w:val="18"/>
                <w:u w:color="000000"/>
              </w:rPr>
            </w:pPr>
            <w:r>
              <w:rPr>
                <w:rFonts w:hint="eastAsia"/>
                <w:color w:val="000000"/>
                <w:sz w:val="18"/>
                <w:szCs w:val="18"/>
                <w:u w:color="000000"/>
              </w:rPr>
              <w:t>副研究员、高级会计师</w:t>
            </w:r>
            <w:r>
              <w:rPr>
                <w:color w:val="000000"/>
                <w:sz w:val="18"/>
                <w:szCs w:val="18"/>
                <w:u w:color="000000"/>
              </w:rPr>
              <w:t>/</w:t>
            </w:r>
            <w:r>
              <w:rPr>
                <w:rFonts w:hint="eastAsia"/>
                <w:color w:val="000000"/>
                <w:sz w:val="18"/>
                <w:szCs w:val="18"/>
                <w:u w:color="000000"/>
              </w:rPr>
              <w:t>副院长</w:t>
            </w:r>
          </w:p>
        </w:tc>
        <w:tc>
          <w:tcPr>
            <w:tcW w:w="2034" w:type="dxa"/>
            <w:gridSpan w:val="8"/>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最终学位</w:t>
            </w:r>
            <w:r>
              <w:rPr>
                <w:color w:val="000000"/>
                <w:u w:color="000000"/>
              </w:rPr>
              <w:t>/</w:t>
            </w:r>
            <w:r>
              <w:rPr>
                <w:rFonts w:hint="eastAsia"/>
                <w:color w:val="000000"/>
                <w:u w:color="000000"/>
              </w:rPr>
              <w:t>授予国家</w:t>
            </w:r>
          </w:p>
        </w:tc>
        <w:tc>
          <w:tcPr>
            <w:tcW w:w="1996"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硕士</w:t>
            </w:r>
            <w:r>
              <w:rPr>
                <w:color w:val="000000"/>
                <w:u w:color="000000"/>
              </w:rPr>
              <w:t>/</w:t>
            </w:r>
            <w:r>
              <w:rPr>
                <w:rFonts w:hint="eastAsia"/>
                <w:color w:val="000000"/>
                <w:u w:color="000000"/>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 w:hRule="atLeast"/>
        </w:trPr>
        <w:tc>
          <w:tcPr>
            <w:tcW w:w="635"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28"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所在学校</w:t>
            </w:r>
          </w:p>
        </w:tc>
        <w:tc>
          <w:tcPr>
            <w:tcW w:w="1376" w:type="dxa"/>
            <w:gridSpan w:val="3"/>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学校名称</w:t>
            </w:r>
          </w:p>
        </w:tc>
        <w:tc>
          <w:tcPr>
            <w:tcW w:w="2841" w:type="dxa"/>
            <w:gridSpan w:val="11"/>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浙江工业大学之江学院</w:t>
            </w:r>
          </w:p>
        </w:tc>
        <w:tc>
          <w:tcPr>
            <w:tcW w:w="1082"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邮政编码</w:t>
            </w:r>
          </w:p>
        </w:tc>
        <w:tc>
          <w:tcPr>
            <w:tcW w:w="2092" w:type="dxa"/>
            <w:gridSpan w:val="4"/>
            <w:vAlign w:val="center"/>
          </w:tcPr>
          <w:p>
            <w:pPr>
              <w:autoSpaceDE/>
              <w:autoSpaceDN/>
              <w:adjustRightInd/>
              <w:snapToGrid w:val="0"/>
              <w:spacing w:line="320" w:lineRule="exact"/>
              <w:ind w:firstLine="0" w:firstLineChars="0"/>
              <w:jc w:val="center"/>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rPr>
        <w:tc>
          <w:tcPr>
            <w:tcW w:w="635"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28"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76" w:type="dxa"/>
            <w:gridSpan w:val="3"/>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2841" w:type="dxa"/>
            <w:gridSpan w:val="11"/>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082"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电话</w:t>
            </w:r>
          </w:p>
        </w:tc>
        <w:tc>
          <w:tcPr>
            <w:tcW w:w="2092"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13819108358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35"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28"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76"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通讯地址</w:t>
            </w:r>
          </w:p>
        </w:tc>
        <w:tc>
          <w:tcPr>
            <w:tcW w:w="6015" w:type="dxa"/>
            <w:gridSpan w:val="18"/>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绍兴市柯桥区越州大道958号浙江工业大学之江学院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35"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28"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主要教学</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工作简历</w:t>
            </w:r>
          </w:p>
        </w:tc>
        <w:tc>
          <w:tcPr>
            <w:tcW w:w="1660"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时间</w:t>
            </w:r>
          </w:p>
        </w:tc>
        <w:tc>
          <w:tcPr>
            <w:tcW w:w="1843" w:type="dxa"/>
            <w:gridSpan w:val="7"/>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课程名称</w:t>
            </w:r>
          </w:p>
        </w:tc>
        <w:tc>
          <w:tcPr>
            <w:tcW w:w="1555"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授课对象</w:t>
            </w:r>
          </w:p>
        </w:tc>
        <w:tc>
          <w:tcPr>
            <w:tcW w:w="817"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学时</w:t>
            </w:r>
          </w:p>
        </w:tc>
        <w:tc>
          <w:tcPr>
            <w:tcW w:w="1516" w:type="dxa"/>
            <w:gridSpan w:val="2"/>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35"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28"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660" w:type="dxa"/>
            <w:gridSpan w:val="4"/>
            <w:tcMar>
              <w:left w:w="108" w:type="dxa"/>
              <w:right w:w="0" w:type="dxa"/>
            </w:tcMar>
            <w:vAlign w:val="center"/>
          </w:tcPr>
          <w:p>
            <w:pPr>
              <w:snapToGrid w:val="0"/>
              <w:spacing w:line="320" w:lineRule="exact"/>
              <w:ind w:firstLine="0" w:firstLineChars="0"/>
              <w:textAlignment w:val="baseline"/>
              <w:rPr>
                <w:color w:val="000000"/>
                <w:u w:color="000000"/>
              </w:rPr>
            </w:pPr>
            <w:r>
              <w:rPr>
                <w:rFonts w:hint="eastAsia" w:ascii="宋体" w:hAnsi="宋体"/>
                <w:szCs w:val="21"/>
              </w:rPr>
              <w:t>2008.9-2013.1</w:t>
            </w:r>
          </w:p>
        </w:tc>
        <w:tc>
          <w:tcPr>
            <w:tcW w:w="1843" w:type="dxa"/>
            <w:gridSpan w:val="7"/>
            <w:tcMar>
              <w:left w:w="108" w:type="dxa"/>
              <w:right w:w="0" w:type="dxa"/>
            </w:tcMar>
            <w:vAlign w:val="center"/>
          </w:tcPr>
          <w:p>
            <w:pPr>
              <w:snapToGrid w:val="0"/>
              <w:spacing w:line="320" w:lineRule="exact"/>
              <w:ind w:firstLine="0" w:firstLineChars="0"/>
              <w:jc w:val="center"/>
              <w:textAlignment w:val="baseline"/>
              <w:rPr>
                <w:color w:val="000000"/>
                <w:u w:color="000000"/>
              </w:rPr>
            </w:pPr>
            <w:r>
              <w:rPr>
                <w:rFonts w:hint="eastAsia" w:ascii="宋体" w:hAnsi="宋体"/>
                <w:szCs w:val="21"/>
              </w:rPr>
              <w:t>会计学原理</w:t>
            </w:r>
          </w:p>
        </w:tc>
        <w:tc>
          <w:tcPr>
            <w:tcW w:w="1555" w:type="dxa"/>
            <w:gridSpan w:val="4"/>
            <w:tcMar>
              <w:left w:w="108" w:type="dxa"/>
              <w:right w:w="0" w:type="dxa"/>
            </w:tcMar>
            <w:vAlign w:val="center"/>
          </w:tcPr>
          <w:p>
            <w:pPr>
              <w:ind w:firstLine="0" w:firstLineChars="0"/>
              <w:rPr>
                <w:rFonts w:ascii="宋体" w:hAnsi="宋体"/>
                <w:szCs w:val="21"/>
              </w:rPr>
            </w:pPr>
            <w:r>
              <w:rPr>
                <w:rFonts w:hint="eastAsia" w:ascii="宋体" w:hAnsi="宋体"/>
                <w:szCs w:val="21"/>
              </w:rPr>
              <w:t>大专（夜大）</w:t>
            </w:r>
          </w:p>
        </w:tc>
        <w:tc>
          <w:tcPr>
            <w:tcW w:w="817" w:type="dxa"/>
            <w:gridSpan w:val="4"/>
            <w:tcMar>
              <w:left w:w="108" w:type="dxa"/>
              <w:right w:w="0" w:type="dxa"/>
            </w:tcMar>
            <w:vAlign w:val="center"/>
          </w:tcPr>
          <w:p>
            <w:pPr>
              <w:ind w:firstLine="0" w:firstLineChars="0"/>
              <w:jc w:val="center"/>
              <w:rPr>
                <w:rFonts w:ascii="宋体" w:hAnsi="宋体"/>
                <w:szCs w:val="21"/>
              </w:rPr>
            </w:pPr>
            <w:r>
              <w:rPr>
                <w:rFonts w:hint="eastAsia" w:ascii="宋体" w:hAnsi="宋体"/>
                <w:szCs w:val="21"/>
              </w:rPr>
              <w:t>57</w:t>
            </w:r>
          </w:p>
        </w:tc>
        <w:tc>
          <w:tcPr>
            <w:tcW w:w="1516" w:type="dxa"/>
            <w:gridSpan w:val="2"/>
            <w:tcMar>
              <w:left w:w="108" w:type="dxa"/>
              <w:right w:w="0" w:type="dxa"/>
            </w:tcMar>
            <w:vAlign w:val="center"/>
          </w:tcPr>
          <w:p>
            <w:pPr>
              <w:snapToGrid w:val="0"/>
              <w:spacing w:line="320" w:lineRule="exact"/>
              <w:ind w:firstLine="0" w:firstLineChars="0"/>
              <w:jc w:val="center"/>
              <w:textAlignment w:val="baseline"/>
              <w:rPr>
                <w:color w:val="000000"/>
                <w:u w:color="000000"/>
              </w:rPr>
            </w:pPr>
            <w:r>
              <w:rPr>
                <w:rFonts w:hint="eastAsia"/>
                <w:color w:val="000000"/>
                <w:u w:color="000000"/>
              </w:rPr>
              <w:t>浙工大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35"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28"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660" w:type="dxa"/>
            <w:gridSpan w:val="4"/>
            <w:tcMar>
              <w:left w:w="108" w:type="dxa"/>
              <w:right w:w="0" w:type="dxa"/>
            </w:tcMar>
            <w:vAlign w:val="center"/>
          </w:tcPr>
          <w:p>
            <w:pPr>
              <w:ind w:firstLine="0" w:firstLineChars="0"/>
              <w:rPr>
                <w:rFonts w:ascii="宋体" w:hAnsi="宋体"/>
                <w:szCs w:val="21"/>
              </w:rPr>
            </w:pPr>
            <w:r>
              <w:rPr>
                <w:rFonts w:hint="eastAsia" w:ascii="宋体" w:hAnsi="宋体"/>
                <w:szCs w:val="21"/>
              </w:rPr>
              <w:t>2010.9-2012.11</w:t>
            </w:r>
          </w:p>
        </w:tc>
        <w:tc>
          <w:tcPr>
            <w:tcW w:w="1843" w:type="dxa"/>
            <w:gridSpan w:val="7"/>
            <w:tcMar>
              <w:left w:w="108" w:type="dxa"/>
              <w:right w:w="0" w:type="dxa"/>
            </w:tcMar>
            <w:vAlign w:val="center"/>
          </w:tcPr>
          <w:p>
            <w:pPr>
              <w:ind w:firstLine="0" w:firstLineChars="0"/>
              <w:jc w:val="center"/>
              <w:rPr>
                <w:rFonts w:ascii="宋体" w:hAnsi="宋体"/>
                <w:szCs w:val="21"/>
              </w:rPr>
            </w:pPr>
            <w:r>
              <w:rPr>
                <w:rFonts w:hint="eastAsia" w:ascii="宋体" w:hAnsi="宋体"/>
                <w:szCs w:val="21"/>
              </w:rPr>
              <w:t>预算会计</w:t>
            </w:r>
          </w:p>
        </w:tc>
        <w:tc>
          <w:tcPr>
            <w:tcW w:w="1555" w:type="dxa"/>
            <w:gridSpan w:val="4"/>
            <w:tcMar>
              <w:left w:w="108" w:type="dxa"/>
              <w:right w:w="0" w:type="dxa"/>
            </w:tcMar>
            <w:vAlign w:val="center"/>
          </w:tcPr>
          <w:p>
            <w:pPr>
              <w:ind w:firstLine="0" w:firstLineChars="0"/>
              <w:rPr>
                <w:rFonts w:ascii="宋体" w:hAnsi="宋体"/>
                <w:szCs w:val="21"/>
              </w:rPr>
            </w:pPr>
            <w:r>
              <w:rPr>
                <w:rFonts w:hint="eastAsia" w:ascii="宋体" w:hAnsi="宋体"/>
                <w:szCs w:val="21"/>
              </w:rPr>
              <w:t>本科（夜大）</w:t>
            </w:r>
          </w:p>
        </w:tc>
        <w:tc>
          <w:tcPr>
            <w:tcW w:w="817" w:type="dxa"/>
            <w:gridSpan w:val="4"/>
            <w:tcMar>
              <w:left w:w="108" w:type="dxa"/>
              <w:right w:w="0" w:type="dxa"/>
            </w:tcMar>
            <w:vAlign w:val="center"/>
          </w:tcPr>
          <w:p>
            <w:pPr>
              <w:ind w:firstLine="0" w:firstLineChars="0"/>
              <w:jc w:val="center"/>
              <w:rPr>
                <w:rFonts w:ascii="宋体" w:hAnsi="宋体"/>
                <w:szCs w:val="21"/>
              </w:rPr>
            </w:pPr>
            <w:r>
              <w:rPr>
                <w:rFonts w:hint="eastAsia" w:ascii="宋体" w:hAnsi="宋体"/>
                <w:szCs w:val="21"/>
              </w:rPr>
              <w:t>30</w:t>
            </w:r>
          </w:p>
        </w:tc>
        <w:tc>
          <w:tcPr>
            <w:tcW w:w="1516" w:type="dxa"/>
            <w:gridSpan w:val="2"/>
            <w:tcMar>
              <w:left w:w="108" w:type="dxa"/>
              <w:right w:w="0" w:type="dxa"/>
            </w:tcMar>
            <w:vAlign w:val="center"/>
          </w:tcPr>
          <w:p>
            <w:pPr>
              <w:snapToGrid w:val="0"/>
              <w:spacing w:line="320" w:lineRule="exact"/>
              <w:ind w:firstLine="0" w:firstLineChars="0"/>
              <w:jc w:val="center"/>
              <w:textAlignment w:val="baseline"/>
              <w:rPr>
                <w:color w:val="000000"/>
                <w:u w:color="000000"/>
              </w:rPr>
            </w:pPr>
            <w:r>
              <w:rPr>
                <w:rFonts w:hint="eastAsia"/>
                <w:color w:val="000000"/>
                <w:u w:color="000000"/>
              </w:rPr>
              <w:t>浙工大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35"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28"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660" w:type="dxa"/>
            <w:gridSpan w:val="4"/>
            <w:tcMar>
              <w:left w:w="108" w:type="dxa"/>
              <w:right w:w="0" w:type="dxa"/>
            </w:tcMar>
            <w:vAlign w:val="center"/>
          </w:tcPr>
          <w:p>
            <w:pPr>
              <w:ind w:firstLine="0" w:firstLineChars="0"/>
              <w:rPr>
                <w:rFonts w:ascii="宋体" w:hAnsi="宋体"/>
                <w:szCs w:val="21"/>
              </w:rPr>
            </w:pPr>
            <w:r>
              <w:rPr>
                <w:rFonts w:hint="eastAsia" w:ascii="宋体" w:hAnsi="宋体"/>
                <w:szCs w:val="21"/>
              </w:rPr>
              <w:t>2009.9-2011.1</w:t>
            </w:r>
          </w:p>
        </w:tc>
        <w:tc>
          <w:tcPr>
            <w:tcW w:w="1843" w:type="dxa"/>
            <w:gridSpan w:val="7"/>
            <w:tcMar>
              <w:left w:w="108" w:type="dxa"/>
              <w:right w:w="0" w:type="dxa"/>
            </w:tcMar>
            <w:vAlign w:val="center"/>
          </w:tcPr>
          <w:p>
            <w:pPr>
              <w:ind w:firstLine="0" w:firstLineChars="0"/>
              <w:jc w:val="center"/>
              <w:rPr>
                <w:rFonts w:ascii="宋体" w:hAnsi="宋体"/>
                <w:szCs w:val="21"/>
              </w:rPr>
            </w:pPr>
            <w:r>
              <w:rPr>
                <w:rFonts w:hint="eastAsia" w:ascii="宋体" w:hAnsi="宋体"/>
                <w:szCs w:val="21"/>
              </w:rPr>
              <w:t>会计学</w:t>
            </w:r>
          </w:p>
        </w:tc>
        <w:tc>
          <w:tcPr>
            <w:tcW w:w="1555" w:type="dxa"/>
            <w:gridSpan w:val="4"/>
            <w:tcMar>
              <w:left w:w="108" w:type="dxa"/>
              <w:right w:w="0" w:type="dxa"/>
            </w:tcMar>
            <w:vAlign w:val="center"/>
          </w:tcPr>
          <w:p>
            <w:pPr>
              <w:ind w:firstLine="0" w:firstLineChars="0"/>
              <w:rPr>
                <w:rFonts w:ascii="宋体" w:hAnsi="宋体"/>
                <w:szCs w:val="21"/>
              </w:rPr>
            </w:pPr>
            <w:r>
              <w:rPr>
                <w:rFonts w:hint="eastAsia" w:ascii="宋体" w:hAnsi="宋体"/>
                <w:szCs w:val="21"/>
              </w:rPr>
              <w:t>专升本(夜大)</w:t>
            </w:r>
          </w:p>
        </w:tc>
        <w:tc>
          <w:tcPr>
            <w:tcW w:w="817" w:type="dxa"/>
            <w:gridSpan w:val="4"/>
            <w:tcMar>
              <w:left w:w="108" w:type="dxa"/>
              <w:right w:w="0" w:type="dxa"/>
            </w:tcMar>
            <w:vAlign w:val="center"/>
          </w:tcPr>
          <w:p>
            <w:pPr>
              <w:ind w:firstLine="0" w:firstLineChars="0"/>
              <w:jc w:val="center"/>
              <w:rPr>
                <w:rFonts w:ascii="宋体" w:hAnsi="宋体"/>
                <w:szCs w:val="21"/>
              </w:rPr>
            </w:pPr>
            <w:r>
              <w:rPr>
                <w:rFonts w:hint="eastAsia" w:ascii="宋体" w:hAnsi="宋体"/>
                <w:szCs w:val="21"/>
              </w:rPr>
              <w:t>57</w:t>
            </w:r>
          </w:p>
        </w:tc>
        <w:tc>
          <w:tcPr>
            <w:tcW w:w="1516" w:type="dxa"/>
            <w:gridSpan w:val="2"/>
            <w:tcMar>
              <w:left w:w="108" w:type="dxa"/>
              <w:right w:w="0" w:type="dxa"/>
            </w:tcMar>
            <w:vAlign w:val="center"/>
          </w:tcPr>
          <w:p>
            <w:pPr>
              <w:snapToGrid w:val="0"/>
              <w:spacing w:line="320" w:lineRule="exact"/>
              <w:ind w:firstLine="0" w:firstLineChars="0"/>
              <w:jc w:val="center"/>
              <w:textAlignment w:val="baseline"/>
              <w:rPr>
                <w:color w:val="000000"/>
                <w:u w:color="000000"/>
              </w:rPr>
            </w:pPr>
            <w:r>
              <w:rPr>
                <w:rFonts w:hint="eastAsia"/>
                <w:color w:val="000000"/>
                <w:u w:color="000000"/>
              </w:rPr>
              <w:t>浙工大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trPr>
        <w:tc>
          <w:tcPr>
            <w:tcW w:w="635"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28"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主要教学改革和科学研究工作简历</w:t>
            </w:r>
          </w:p>
        </w:tc>
        <w:tc>
          <w:tcPr>
            <w:tcW w:w="1660"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时间</w:t>
            </w:r>
          </w:p>
        </w:tc>
        <w:tc>
          <w:tcPr>
            <w:tcW w:w="4215" w:type="dxa"/>
            <w:gridSpan w:val="15"/>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项目名称</w:t>
            </w:r>
          </w:p>
        </w:tc>
        <w:tc>
          <w:tcPr>
            <w:tcW w:w="1516" w:type="dxa"/>
            <w:gridSpan w:val="2"/>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635"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28"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660" w:type="dxa"/>
            <w:gridSpan w:val="4"/>
            <w:vAlign w:val="center"/>
          </w:tcPr>
          <w:p>
            <w:pPr>
              <w:snapToGrid w:val="0"/>
              <w:spacing w:line="320" w:lineRule="exact"/>
              <w:ind w:firstLine="0" w:firstLineChars="0"/>
              <w:textAlignment w:val="baseline"/>
              <w:rPr>
                <w:rFonts w:ascii="AdobeSongStd-Light" w:hAnsi="AdobeSongStd-Light" w:eastAsia="AdobeSongStd-Light"/>
                <w:sz w:val="19"/>
                <w:szCs w:val="19"/>
              </w:rPr>
            </w:pPr>
            <w:r>
              <w:rPr>
                <w:rFonts w:hint="eastAsia"/>
                <w:color w:val="000000"/>
                <w:u w:color="000000"/>
              </w:rPr>
              <w:t>2011.04-2012.05</w:t>
            </w:r>
          </w:p>
        </w:tc>
        <w:tc>
          <w:tcPr>
            <w:tcW w:w="4215" w:type="dxa"/>
            <w:gridSpan w:val="15"/>
            <w:vAlign w:val="center"/>
          </w:tcPr>
          <w:p>
            <w:pPr>
              <w:snapToGrid w:val="0"/>
              <w:spacing w:line="320" w:lineRule="exact"/>
              <w:ind w:firstLine="0" w:firstLineChars="0"/>
              <w:textAlignment w:val="baseline"/>
              <w:rPr>
                <w:color w:val="000000"/>
                <w:sz w:val="19"/>
                <w:szCs w:val="19"/>
                <w:u w:color="000000"/>
              </w:rPr>
            </w:pPr>
            <w:r>
              <w:rPr>
                <w:rFonts w:hint="eastAsia" w:ascii="AdobeSongStd-Light" w:hAnsi="AdobeSongStd-Light" w:eastAsia="AdobeSongStd-Light"/>
                <w:sz w:val="19"/>
                <w:szCs w:val="19"/>
              </w:rPr>
              <w:t>基于BSC理论的高校教学经费绩效管理的研究</w:t>
            </w:r>
          </w:p>
        </w:tc>
        <w:tc>
          <w:tcPr>
            <w:tcW w:w="1516" w:type="dxa"/>
            <w:gridSpan w:val="2"/>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ascii="宋体" w:hAnsi="宋体"/>
                <w:sz w:val="18"/>
                <w:szCs w:val="18"/>
              </w:rPr>
              <w:t>浙工大教改项目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35"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28"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660" w:type="dxa"/>
            <w:gridSpan w:val="4"/>
            <w:vAlign w:val="center"/>
          </w:tcPr>
          <w:p>
            <w:pPr>
              <w:snapToGrid w:val="0"/>
              <w:spacing w:line="320" w:lineRule="exact"/>
              <w:ind w:firstLine="0" w:firstLineChars="0"/>
              <w:textAlignment w:val="baseline"/>
              <w:rPr>
                <w:color w:val="000000"/>
                <w:u w:color="000000"/>
              </w:rPr>
            </w:pPr>
            <w:r>
              <w:rPr>
                <w:rFonts w:hint="eastAsia"/>
                <w:color w:val="000000"/>
                <w:u w:color="000000"/>
              </w:rPr>
              <w:t>2012.09-2014.08</w:t>
            </w:r>
          </w:p>
        </w:tc>
        <w:tc>
          <w:tcPr>
            <w:tcW w:w="4215" w:type="dxa"/>
            <w:gridSpan w:val="15"/>
            <w:vAlign w:val="center"/>
          </w:tcPr>
          <w:p>
            <w:pPr>
              <w:ind w:firstLine="0" w:firstLineChars="0"/>
              <w:rPr>
                <w:color w:val="000000"/>
                <w:sz w:val="18"/>
                <w:szCs w:val="18"/>
                <w:u w:color="000000"/>
              </w:rPr>
            </w:pPr>
            <w:r>
              <w:rPr>
                <w:rFonts w:hint="eastAsia" w:ascii="宋体" w:hAnsi="宋体"/>
                <w:sz w:val="18"/>
                <w:szCs w:val="18"/>
              </w:rPr>
              <w:t>浙江省政府采购管理机制创新的研究-以高校为例</w:t>
            </w:r>
          </w:p>
        </w:tc>
        <w:tc>
          <w:tcPr>
            <w:tcW w:w="1516" w:type="dxa"/>
            <w:gridSpan w:val="2"/>
            <w:tcMar>
              <w:left w:w="0" w:type="dxa"/>
              <w:right w:w="0" w:type="dxa"/>
            </w:tcMar>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ascii="宋体" w:hAnsi="宋体"/>
                <w:sz w:val="18"/>
                <w:szCs w:val="18"/>
              </w:rPr>
              <w:t>省科技厅重点项目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trPr>
        <w:tc>
          <w:tcPr>
            <w:tcW w:w="635"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28"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660" w:type="dxa"/>
            <w:gridSpan w:val="4"/>
            <w:vAlign w:val="center"/>
          </w:tcPr>
          <w:p>
            <w:pPr>
              <w:snapToGrid w:val="0"/>
              <w:spacing w:line="320" w:lineRule="exact"/>
              <w:ind w:firstLine="0" w:firstLineChars="0"/>
              <w:textAlignment w:val="baseline"/>
              <w:rPr>
                <w:color w:val="000000"/>
                <w:u w:color="000000"/>
              </w:rPr>
            </w:pPr>
            <w:r>
              <w:rPr>
                <w:rFonts w:hint="eastAsia"/>
                <w:color w:val="000000"/>
                <w:u w:color="000000"/>
              </w:rPr>
              <w:t>2012.04-2015.12</w:t>
            </w:r>
          </w:p>
        </w:tc>
        <w:tc>
          <w:tcPr>
            <w:tcW w:w="4215" w:type="dxa"/>
            <w:gridSpan w:val="15"/>
            <w:vAlign w:val="center"/>
          </w:tcPr>
          <w:p>
            <w:pPr>
              <w:snapToGrid w:val="0"/>
              <w:spacing w:line="320" w:lineRule="exact"/>
              <w:ind w:firstLine="0" w:firstLineChars="0"/>
              <w:textAlignment w:val="baseline"/>
              <w:rPr>
                <w:color w:val="000000"/>
                <w:u w:color="000000"/>
              </w:rPr>
            </w:pPr>
            <w:r>
              <w:rPr>
                <w:rFonts w:hint="eastAsia" w:ascii="宋体" w:hAnsi="宋体"/>
                <w:sz w:val="18"/>
                <w:szCs w:val="18"/>
              </w:rPr>
              <w:t>高等学校研究生教育投入机制的研究</w:t>
            </w:r>
          </w:p>
        </w:tc>
        <w:tc>
          <w:tcPr>
            <w:tcW w:w="1516" w:type="dxa"/>
            <w:gridSpan w:val="2"/>
            <w:tcMar>
              <w:left w:w="0" w:type="dxa"/>
              <w:right w:w="0" w:type="dxa"/>
            </w:tcMar>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ascii="宋体" w:hAnsi="宋体"/>
                <w:sz w:val="18"/>
                <w:szCs w:val="18"/>
              </w:rPr>
              <w:t>浙工大研究生教改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635" w:type="dxa"/>
            <w:vMerge w:val="restart"/>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项</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目</w:t>
            </w:r>
          </w:p>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组</w:t>
            </w:r>
          </w:p>
        </w:tc>
        <w:tc>
          <w:tcPr>
            <w:tcW w:w="1328"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总人数</w:t>
            </w:r>
          </w:p>
        </w:tc>
        <w:tc>
          <w:tcPr>
            <w:tcW w:w="1216" w:type="dxa"/>
            <w:gridSpan w:val="2"/>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高级</w:t>
            </w:r>
          </w:p>
        </w:tc>
        <w:tc>
          <w:tcPr>
            <w:tcW w:w="966"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中级</w:t>
            </w:r>
          </w:p>
        </w:tc>
        <w:tc>
          <w:tcPr>
            <w:tcW w:w="958" w:type="dxa"/>
            <w:gridSpan w:val="3"/>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初级</w:t>
            </w:r>
          </w:p>
        </w:tc>
        <w:tc>
          <w:tcPr>
            <w:tcW w:w="960"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博士后</w:t>
            </w:r>
          </w:p>
        </w:tc>
        <w:tc>
          <w:tcPr>
            <w:tcW w:w="958" w:type="dxa"/>
            <w:gridSpan w:val="2"/>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博士</w:t>
            </w:r>
          </w:p>
        </w:tc>
        <w:tc>
          <w:tcPr>
            <w:tcW w:w="817"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硕士</w:t>
            </w:r>
          </w:p>
        </w:tc>
        <w:tc>
          <w:tcPr>
            <w:tcW w:w="1516" w:type="dxa"/>
            <w:gridSpan w:val="2"/>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rPr>
        <w:tc>
          <w:tcPr>
            <w:tcW w:w="635" w:type="dxa"/>
            <w:vMerge w:val="continue"/>
            <w:vAlign w:val="center"/>
          </w:tcPr>
          <w:p>
            <w:pPr>
              <w:autoSpaceDE/>
              <w:autoSpaceDN/>
              <w:adjustRightInd/>
              <w:snapToGrid w:val="0"/>
              <w:spacing w:line="320" w:lineRule="exact"/>
              <w:ind w:firstLine="0" w:firstLineChars="0"/>
              <w:jc w:val="center"/>
              <w:textAlignment w:val="baseline"/>
              <w:rPr>
                <w:color w:val="000000"/>
                <w:u w:color="000000"/>
              </w:rPr>
            </w:pPr>
          </w:p>
        </w:tc>
        <w:tc>
          <w:tcPr>
            <w:tcW w:w="1328" w:type="dxa"/>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5</w:t>
            </w:r>
          </w:p>
        </w:tc>
        <w:tc>
          <w:tcPr>
            <w:tcW w:w="1216" w:type="dxa"/>
            <w:gridSpan w:val="2"/>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4</w:t>
            </w:r>
          </w:p>
        </w:tc>
        <w:tc>
          <w:tcPr>
            <w:tcW w:w="966"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1</w:t>
            </w:r>
          </w:p>
        </w:tc>
        <w:tc>
          <w:tcPr>
            <w:tcW w:w="958" w:type="dxa"/>
            <w:gridSpan w:val="3"/>
            <w:vAlign w:val="center"/>
          </w:tcPr>
          <w:p>
            <w:pPr>
              <w:autoSpaceDE/>
              <w:autoSpaceDN/>
              <w:adjustRightInd/>
              <w:snapToGrid w:val="0"/>
              <w:spacing w:line="320" w:lineRule="exact"/>
              <w:ind w:firstLine="0" w:firstLineChars="0"/>
              <w:jc w:val="center"/>
              <w:textAlignment w:val="baseline"/>
              <w:rPr>
                <w:color w:val="000000"/>
                <w:u w:color="000000"/>
              </w:rPr>
            </w:pPr>
          </w:p>
        </w:tc>
        <w:tc>
          <w:tcPr>
            <w:tcW w:w="960" w:type="dxa"/>
            <w:gridSpan w:val="4"/>
            <w:vAlign w:val="center"/>
          </w:tcPr>
          <w:p>
            <w:pPr>
              <w:autoSpaceDE/>
              <w:autoSpaceDN/>
              <w:adjustRightInd/>
              <w:snapToGrid w:val="0"/>
              <w:spacing w:line="320" w:lineRule="exact"/>
              <w:ind w:firstLine="0" w:firstLineChars="0"/>
              <w:jc w:val="center"/>
              <w:textAlignment w:val="baseline"/>
              <w:rPr>
                <w:color w:val="000000"/>
                <w:u w:color="000000"/>
              </w:rPr>
            </w:pPr>
          </w:p>
        </w:tc>
        <w:tc>
          <w:tcPr>
            <w:tcW w:w="958" w:type="dxa"/>
            <w:gridSpan w:val="2"/>
            <w:vAlign w:val="center"/>
          </w:tcPr>
          <w:p>
            <w:pPr>
              <w:autoSpaceDE/>
              <w:autoSpaceDN/>
              <w:adjustRightInd/>
              <w:snapToGrid w:val="0"/>
              <w:spacing w:line="320" w:lineRule="exact"/>
              <w:ind w:firstLine="0" w:firstLineChars="0"/>
              <w:jc w:val="center"/>
              <w:textAlignment w:val="baseline"/>
              <w:rPr>
                <w:color w:val="000000"/>
                <w:u w:color="000000"/>
              </w:rPr>
            </w:pPr>
          </w:p>
        </w:tc>
        <w:tc>
          <w:tcPr>
            <w:tcW w:w="817" w:type="dxa"/>
            <w:gridSpan w:val="4"/>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4</w:t>
            </w:r>
          </w:p>
        </w:tc>
        <w:tc>
          <w:tcPr>
            <w:tcW w:w="1516" w:type="dxa"/>
            <w:gridSpan w:val="2"/>
            <w:vAlign w:val="center"/>
          </w:tcPr>
          <w:p>
            <w:pPr>
              <w:autoSpaceDE/>
              <w:autoSpaceDN/>
              <w:adjustRightInd/>
              <w:snapToGrid w:val="0"/>
              <w:spacing w:line="320" w:lineRule="exact"/>
              <w:ind w:firstLine="0" w:firstLineChars="0"/>
              <w:jc w:val="center"/>
              <w:textAlignment w:val="baseline"/>
              <w:rPr>
                <w:color w:val="000000"/>
                <w:u w:color="000000"/>
              </w:rPr>
            </w:pPr>
            <w:r>
              <w:rPr>
                <w:rFonts w:hint="eastAsia"/>
                <w:color w:val="000000"/>
                <w:u w:color="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35"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328" w:type="dxa"/>
            <w:vMerge w:val="restart"/>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主要成员</w:t>
            </w:r>
          </w:p>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不含申请者</w:t>
            </w:r>
          </w:p>
        </w:tc>
        <w:tc>
          <w:tcPr>
            <w:tcW w:w="1093" w:type="dxa"/>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姓名</w:t>
            </w:r>
          </w:p>
        </w:tc>
        <w:tc>
          <w:tcPr>
            <w:tcW w:w="709" w:type="dxa"/>
            <w:gridSpan w:val="4"/>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性别</w:t>
            </w:r>
          </w:p>
        </w:tc>
        <w:tc>
          <w:tcPr>
            <w:tcW w:w="1134" w:type="dxa"/>
            <w:gridSpan w:val="3"/>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出生年月</w:t>
            </w:r>
          </w:p>
        </w:tc>
        <w:tc>
          <w:tcPr>
            <w:tcW w:w="850" w:type="dxa"/>
            <w:gridSpan w:val="4"/>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职称</w:t>
            </w:r>
          </w:p>
        </w:tc>
        <w:tc>
          <w:tcPr>
            <w:tcW w:w="1513" w:type="dxa"/>
            <w:gridSpan w:val="5"/>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工作单位</w:t>
            </w:r>
          </w:p>
        </w:tc>
        <w:tc>
          <w:tcPr>
            <w:tcW w:w="1057" w:type="dxa"/>
            <w:gridSpan w:val="3"/>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分工</w:t>
            </w:r>
          </w:p>
        </w:tc>
        <w:tc>
          <w:tcPr>
            <w:tcW w:w="1035" w:type="dxa"/>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35"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328"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093" w:type="dxa"/>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蒋建华</w:t>
            </w:r>
          </w:p>
        </w:tc>
        <w:tc>
          <w:tcPr>
            <w:tcW w:w="709" w:type="dxa"/>
            <w:gridSpan w:val="4"/>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男</w:t>
            </w:r>
          </w:p>
        </w:tc>
        <w:tc>
          <w:tcPr>
            <w:tcW w:w="1134" w:type="dxa"/>
            <w:gridSpan w:val="3"/>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1962.06</w:t>
            </w:r>
          </w:p>
        </w:tc>
        <w:tc>
          <w:tcPr>
            <w:tcW w:w="850" w:type="dxa"/>
            <w:gridSpan w:val="4"/>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教授</w:t>
            </w:r>
          </w:p>
        </w:tc>
        <w:tc>
          <w:tcPr>
            <w:tcW w:w="1513" w:type="dxa"/>
            <w:gridSpan w:val="5"/>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sz w:val="18"/>
                <w:szCs w:val="18"/>
                <w:u w:color="000000"/>
              </w:rPr>
              <w:t>浙工大之江学院</w:t>
            </w:r>
          </w:p>
        </w:tc>
        <w:tc>
          <w:tcPr>
            <w:tcW w:w="1057" w:type="dxa"/>
            <w:gridSpan w:val="3"/>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制度设计</w:t>
            </w:r>
          </w:p>
        </w:tc>
        <w:tc>
          <w:tcPr>
            <w:tcW w:w="1035" w:type="dxa"/>
            <w:vAlign w:val="center"/>
          </w:tcPr>
          <w:p>
            <w:pPr>
              <w:autoSpaceDE/>
              <w:autoSpaceDN/>
              <w:adjustRightInd/>
              <w:snapToGrid w:val="0"/>
              <w:spacing w:line="460" w:lineRule="exact"/>
              <w:ind w:firstLine="0" w:firstLineChars="0"/>
              <w:jc w:val="center"/>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35"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328"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093" w:type="dxa"/>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卜庆军</w:t>
            </w:r>
          </w:p>
        </w:tc>
        <w:tc>
          <w:tcPr>
            <w:tcW w:w="709" w:type="dxa"/>
            <w:gridSpan w:val="4"/>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男</w:t>
            </w:r>
          </w:p>
        </w:tc>
        <w:tc>
          <w:tcPr>
            <w:tcW w:w="1134" w:type="dxa"/>
            <w:gridSpan w:val="3"/>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1970.01</w:t>
            </w:r>
          </w:p>
        </w:tc>
        <w:tc>
          <w:tcPr>
            <w:tcW w:w="850" w:type="dxa"/>
            <w:gridSpan w:val="4"/>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教授</w:t>
            </w:r>
          </w:p>
        </w:tc>
        <w:tc>
          <w:tcPr>
            <w:tcW w:w="1513" w:type="dxa"/>
            <w:gridSpan w:val="5"/>
            <w:tcMar>
              <w:left w:w="0" w:type="dxa"/>
              <w:right w:w="0" w:type="dxa"/>
            </w:tcMar>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sz w:val="18"/>
                <w:szCs w:val="18"/>
                <w:u w:color="000000"/>
              </w:rPr>
              <w:t>浙工大之江学院</w:t>
            </w:r>
          </w:p>
        </w:tc>
        <w:tc>
          <w:tcPr>
            <w:tcW w:w="1057" w:type="dxa"/>
            <w:gridSpan w:val="3"/>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指标设计</w:t>
            </w:r>
          </w:p>
        </w:tc>
        <w:tc>
          <w:tcPr>
            <w:tcW w:w="1035" w:type="dxa"/>
            <w:vAlign w:val="center"/>
          </w:tcPr>
          <w:p>
            <w:pPr>
              <w:autoSpaceDE/>
              <w:autoSpaceDN/>
              <w:adjustRightInd/>
              <w:snapToGrid w:val="0"/>
              <w:spacing w:line="460" w:lineRule="exact"/>
              <w:ind w:firstLine="0" w:firstLineChars="0"/>
              <w:jc w:val="center"/>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35"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328"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093" w:type="dxa"/>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潘丽慧</w:t>
            </w:r>
          </w:p>
        </w:tc>
        <w:tc>
          <w:tcPr>
            <w:tcW w:w="709" w:type="dxa"/>
            <w:gridSpan w:val="4"/>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女</w:t>
            </w:r>
          </w:p>
        </w:tc>
        <w:tc>
          <w:tcPr>
            <w:tcW w:w="1134" w:type="dxa"/>
            <w:gridSpan w:val="3"/>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1973.09</w:t>
            </w:r>
          </w:p>
        </w:tc>
        <w:tc>
          <w:tcPr>
            <w:tcW w:w="850" w:type="dxa"/>
            <w:gridSpan w:val="4"/>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高会</w:t>
            </w:r>
          </w:p>
        </w:tc>
        <w:tc>
          <w:tcPr>
            <w:tcW w:w="1513" w:type="dxa"/>
            <w:gridSpan w:val="5"/>
            <w:tcMar>
              <w:left w:w="0" w:type="dxa"/>
              <w:right w:w="0" w:type="dxa"/>
            </w:tcMar>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sz w:val="18"/>
                <w:szCs w:val="18"/>
                <w:u w:color="000000"/>
              </w:rPr>
              <w:t>浙江艺术职业学院</w:t>
            </w:r>
          </w:p>
        </w:tc>
        <w:tc>
          <w:tcPr>
            <w:tcW w:w="1057" w:type="dxa"/>
            <w:gridSpan w:val="3"/>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数据分析</w:t>
            </w:r>
          </w:p>
        </w:tc>
        <w:tc>
          <w:tcPr>
            <w:tcW w:w="1035" w:type="dxa"/>
            <w:vAlign w:val="center"/>
          </w:tcPr>
          <w:p>
            <w:pPr>
              <w:autoSpaceDE/>
              <w:autoSpaceDN/>
              <w:adjustRightInd/>
              <w:snapToGrid w:val="0"/>
              <w:spacing w:line="460" w:lineRule="exact"/>
              <w:ind w:firstLine="0" w:firstLineChars="0"/>
              <w:jc w:val="center"/>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635"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328" w:type="dxa"/>
            <w:vMerge w:val="continue"/>
            <w:vAlign w:val="center"/>
          </w:tcPr>
          <w:p>
            <w:pPr>
              <w:autoSpaceDE/>
              <w:autoSpaceDN/>
              <w:adjustRightInd/>
              <w:snapToGrid w:val="0"/>
              <w:spacing w:line="460" w:lineRule="exact"/>
              <w:ind w:firstLine="0" w:firstLineChars="0"/>
              <w:jc w:val="center"/>
              <w:textAlignment w:val="baseline"/>
              <w:rPr>
                <w:color w:val="000000"/>
                <w:u w:color="000000"/>
              </w:rPr>
            </w:pPr>
          </w:p>
        </w:tc>
        <w:tc>
          <w:tcPr>
            <w:tcW w:w="1093" w:type="dxa"/>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方明</w:t>
            </w:r>
          </w:p>
        </w:tc>
        <w:tc>
          <w:tcPr>
            <w:tcW w:w="709" w:type="dxa"/>
            <w:gridSpan w:val="4"/>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男</w:t>
            </w:r>
          </w:p>
        </w:tc>
        <w:tc>
          <w:tcPr>
            <w:tcW w:w="1134" w:type="dxa"/>
            <w:gridSpan w:val="3"/>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1982.10</w:t>
            </w:r>
          </w:p>
        </w:tc>
        <w:tc>
          <w:tcPr>
            <w:tcW w:w="850" w:type="dxa"/>
            <w:gridSpan w:val="4"/>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会计师</w:t>
            </w:r>
          </w:p>
        </w:tc>
        <w:tc>
          <w:tcPr>
            <w:tcW w:w="1513" w:type="dxa"/>
            <w:gridSpan w:val="5"/>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sz w:val="18"/>
                <w:szCs w:val="18"/>
                <w:u w:color="000000"/>
              </w:rPr>
              <w:t>浙工大之江学院</w:t>
            </w:r>
          </w:p>
        </w:tc>
        <w:tc>
          <w:tcPr>
            <w:tcW w:w="1057" w:type="dxa"/>
            <w:gridSpan w:val="3"/>
            <w:vAlign w:val="center"/>
          </w:tcPr>
          <w:p>
            <w:pPr>
              <w:autoSpaceDE/>
              <w:autoSpaceDN/>
              <w:adjustRightInd/>
              <w:snapToGrid w:val="0"/>
              <w:spacing w:line="460" w:lineRule="exact"/>
              <w:ind w:firstLine="0" w:firstLineChars="0"/>
              <w:jc w:val="center"/>
              <w:textAlignment w:val="baseline"/>
              <w:rPr>
                <w:color w:val="000000"/>
                <w:u w:color="000000"/>
              </w:rPr>
            </w:pPr>
            <w:r>
              <w:rPr>
                <w:rFonts w:hint="eastAsia"/>
                <w:color w:val="000000"/>
                <w:u w:color="000000"/>
              </w:rPr>
              <w:t>资料整理</w:t>
            </w:r>
          </w:p>
        </w:tc>
        <w:tc>
          <w:tcPr>
            <w:tcW w:w="1035" w:type="dxa"/>
            <w:vAlign w:val="center"/>
          </w:tcPr>
          <w:p>
            <w:pPr>
              <w:autoSpaceDE/>
              <w:autoSpaceDN/>
              <w:adjustRightInd/>
              <w:snapToGrid w:val="0"/>
              <w:spacing w:line="460" w:lineRule="exact"/>
              <w:ind w:firstLine="0" w:firstLineChars="0"/>
              <w:jc w:val="center"/>
              <w:textAlignment w:val="baseline"/>
              <w:rPr>
                <w:color w:val="000000"/>
                <w:u w:color="000000"/>
              </w:rPr>
            </w:pPr>
          </w:p>
        </w:tc>
      </w:tr>
    </w:tbl>
    <w:p>
      <w:pPr>
        <w:autoSpaceDE/>
        <w:autoSpaceDN/>
        <w:adjustRightInd/>
        <w:snapToGrid w:val="0"/>
        <w:spacing w:line="460" w:lineRule="exact"/>
        <w:ind w:firstLine="0" w:firstLineChars="0"/>
        <w:jc w:val="both"/>
        <w:textAlignment w:val="baseline"/>
        <w:rPr>
          <w:rFonts w:eastAsia="仿宋_GB2312"/>
          <w:color w:val="000000"/>
          <w:szCs w:val="21"/>
          <w:u w:color="000000"/>
        </w:rPr>
      </w:pPr>
      <w:r>
        <w:rPr>
          <w:rFonts w:hint="eastAsia" w:eastAsia="仿宋_GB2312"/>
          <w:color w:val="000000"/>
          <w:szCs w:val="21"/>
          <w:u w:color="000000"/>
        </w:rPr>
        <w:t>备注：项目组主要成员不超过四人，没有参与人的务必填写</w:t>
      </w:r>
      <w:r>
        <w:rPr>
          <w:rFonts w:eastAsia="仿宋_GB2312"/>
          <w:color w:val="000000"/>
          <w:szCs w:val="21"/>
          <w:u w:color="000000"/>
        </w:rPr>
        <w:t>“</w:t>
      </w:r>
      <w:r>
        <w:rPr>
          <w:rFonts w:hint="eastAsia" w:eastAsia="仿宋_GB2312"/>
          <w:color w:val="000000"/>
          <w:szCs w:val="21"/>
          <w:u w:color="000000"/>
        </w:rPr>
        <w:t>无</w:t>
      </w:r>
      <w:r>
        <w:rPr>
          <w:rFonts w:eastAsia="仿宋_GB2312"/>
          <w:color w:val="000000"/>
          <w:szCs w:val="21"/>
          <w:u w:color="000000"/>
        </w:rPr>
        <w:t>”</w:t>
      </w:r>
      <w:r>
        <w:rPr>
          <w:rFonts w:hint="eastAsia" w:eastAsia="仿宋_GB2312"/>
          <w:color w:val="000000"/>
          <w:szCs w:val="21"/>
          <w:u w:color="000000"/>
        </w:rPr>
        <w:t>。</w:t>
      </w:r>
    </w:p>
    <w:p>
      <w:pPr>
        <w:autoSpaceDE/>
        <w:autoSpaceDN/>
        <w:adjustRightInd/>
        <w:snapToGrid w:val="0"/>
        <w:spacing w:line="544" w:lineRule="atLeast"/>
        <w:ind w:firstLine="0" w:firstLineChars="0"/>
        <w:jc w:val="both"/>
        <w:textAlignment w:val="baseline"/>
        <w:rPr>
          <w:color w:val="000000"/>
          <w:u w:color="000000"/>
        </w:rPr>
      </w:pPr>
      <w:r>
        <w:rPr>
          <w:rFonts w:hint="eastAsia" w:eastAsia="仿宋_GB2312"/>
          <w:color w:val="000000"/>
          <w:sz w:val="28"/>
          <w:u w:color="000000"/>
        </w:rPr>
        <w:t>二、立项依据：</w:t>
      </w:r>
      <w:r>
        <w:rPr>
          <w:rFonts w:hint="eastAsia" w:eastAsia="仿宋_GB2312"/>
          <w:color w:val="000000"/>
          <w:u w:color="000000"/>
        </w:rPr>
        <w:t>（项目的意义、现状分析）</w:t>
      </w:r>
    </w:p>
    <w:tbl>
      <w:tblPr>
        <w:tblStyle w:val="11"/>
        <w:tblW w:w="8564" w:type="dxa"/>
        <w:jc w:val="center"/>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5" w:hRule="atLeast"/>
          <w:jc w:val="center"/>
        </w:trPr>
        <w:tc>
          <w:tcPr>
            <w:tcW w:w="8564" w:type="dxa"/>
            <w:tcBorders>
              <w:top w:val="single" w:color="auto" w:sz="4" w:space="0"/>
              <w:left w:val="single" w:color="000000" w:sz="2" w:space="0"/>
              <w:bottom w:val="single" w:color="000000" w:sz="2" w:space="0"/>
              <w:right w:val="single" w:color="000000" w:sz="2" w:space="0"/>
            </w:tcBorders>
          </w:tcPr>
          <w:p>
            <w:pPr>
              <w:ind w:firstLine="472" w:firstLineChars="196"/>
              <w:rPr>
                <w:rFonts w:ascii="仿宋_GB2312" w:eastAsia="仿宋_GB2312"/>
                <w:b/>
                <w:color w:val="000000"/>
                <w:sz w:val="24"/>
              </w:rPr>
            </w:pPr>
            <w:r>
              <w:rPr>
                <w:rFonts w:hint="eastAsia" w:ascii="仿宋_GB2312" w:eastAsia="仿宋_GB2312"/>
                <w:b/>
                <w:color w:val="000000"/>
                <w:sz w:val="24"/>
              </w:rPr>
              <w:t>（一）项目的</w:t>
            </w:r>
            <w:r>
              <w:rPr>
                <w:rFonts w:ascii="仿宋_GB2312" w:eastAsia="仿宋_GB2312"/>
                <w:b/>
                <w:color w:val="000000"/>
                <w:sz w:val="24"/>
              </w:rPr>
              <w:t>意义</w:t>
            </w:r>
          </w:p>
          <w:p>
            <w:pPr>
              <w:spacing w:line="400" w:lineRule="exact"/>
              <w:rPr>
                <w:rFonts w:ascii="宋体" w:hAnsi="宋体" w:cs="黑体"/>
                <w:szCs w:val="21"/>
              </w:rPr>
            </w:pPr>
            <w:r>
              <w:rPr>
                <w:rFonts w:hint="eastAsia" w:ascii="宋体" w:hAnsi="宋体" w:cs="黑体"/>
                <w:szCs w:val="21"/>
              </w:rPr>
              <w:t>高等学校最基本的任务是培养人才，高等学校的中心工作是教学工作，教学经费则是保证教学活动正常开展、提高教学质量进而达到人才培养目标的物质基础与必备条件。近年来，教育主管部门为保证教学经费的投入，发布了一系列的政策规定。在《教育部关于普通高等学校本科教学评估工作的意见》（教高〔2011〕9号）明确：“人才培养是高等学校的根本任务。提高人才培养质量的重点是提高教学质量。教学评估是评价、监督、保障和提高教学质量的重要举措，是我国高等教育质量保障体系的重要组成部分。”在《教育部关于开展普通高等学校本科教学工作审核评估的通知》（教高〔2013〕10号）要求高等学校“突出内涵建设，突出特色发展；强化办学合理定位，强化人才培养中心地位，强化质量保障体系建设，不断提高人才培养质量。”结合我省高等教育实际，现制定浙江省普通高等学校本科教学工作审核评估方案（浙教高教〔2015〕33号）。审核评估范围主要包括学校的定位与目标、师资队伍、教学资源、培养过程、学生发展、质量保障以及学校自选特色等方面，涵盖学校的办学定位及人才培养目标，教师及其教学水平和教学投入，教学经费、教学设施及专业和课程资源建设情况，教学改革及各教学环节的落实情况，招生就业情况，学生学习效果及学风建设情况，质量保障体系的建设及运行情况等。</w:t>
            </w:r>
          </w:p>
          <w:p>
            <w:pPr>
              <w:spacing w:line="400" w:lineRule="exact"/>
              <w:rPr>
                <w:rFonts w:ascii="宋体" w:hAnsi="宋体" w:cs="黑体"/>
                <w:szCs w:val="21"/>
              </w:rPr>
            </w:pPr>
            <w:r>
              <w:rPr>
                <w:rFonts w:hint="eastAsia" w:ascii="宋体" w:hAnsi="宋体" w:cs="黑体"/>
                <w:szCs w:val="21"/>
              </w:rPr>
              <w:t>独立学院作为中国高等教育办学体制改革创新的重要成果，是我国高等教育的重要补充部分，尤其在浙江省高等教育中充当着重要的角色。</w:t>
            </w:r>
            <w:r>
              <w:t>为了规范独立学院的办学与管理，教育部于 2003 年颁布了《关于规范并加强普通高校以新的机制和模式试办独立学院管理的若干意见 》、《意见》明确了“积极支持、规范教育”的指导思想，具有里程碑的意义，并从宏观上给出了若干指导性的意见。为了解决被证实具有良好发展前景的独立学院所出现的问题，教育部</w:t>
            </w:r>
            <w:r>
              <w:rPr>
                <w:rFonts w:hint="eastAsia"/>
              </w:rPr>
              <w:t>于</w:t>
            </w:r>
            <w:r>
              <w:t xml:space="preserve"> 2008 年</w:t>
            </w:r>
            <w:r>
              <w:rPr>
                <w:rFonts w:hint="eastAsia"/>
              </w:rPr>
              <w:t>又</w:t>
            </w:r>
            <w:r>
              <w:t>颁布了旨在具体规</w:t>
            </w:r>
            <w:r>
              <w:rPr>
                <w:rFonts w:hint="eastAsia"/>
              </w:rPr>
              <w:t>范</w:t>
            </w:r>
            <w:r>
              <w:t>独立学院发展的《独立学院设置与管理办法》</w:t>
            </w:r>
            <w:r>
              <w:rPr>
                <w:rFonts w:hint="eastAsia"/>
              </w:rPr>
              <w:t>，</w:t>
            </w:r>
            <w:r>
              <w:t>《办法》所规定的“五年”过渡期</w:t>
            </w:r>
            <w:r>
              <w:rPr>
                <w:rFonts w:hint="eastAsia"/>
              </w:rPr>
              <w:t>，目前已经过去了十年，</w:t>
            </w:r>
            <w:r>
              <w:t>全国独立学院的规范验收工作始终难以推进。其中原因错综复杂，既有现实情况的复杂性，又有《办法》本身有待进一步完善的问题。</w:t>
            </w:r>
            <w:r>
              <w:rPr>
                <w:rFonts w:hint="eastAsia" w:ascii="宋体" w:hAnsi="宋体" w:cs="黑体"/>
                <w:szCs w:val="21"/>
              </w:rPr>
              <w:t>我省独立学院成立多年来，培养了大批专业型、复合型、技能型人才，促进了我省经济建设的发展，为我省高等教育由精英化向大众化转变发挥了较大作用，同时扩大人民群众对高等教育优质教学资源的需求。2016年省</w:t>
            </w:r>
            <w:r>
              <w:rPr>
                <w:rFonts w:ascii="宋体" w:hAnsi="宋体" w:cs="黑体"/>
                <w:szCs w:val="21"/>
              </w:rPr>
              <w:t>浙江省教育厅</w:t>
            </w:r>
            <w:r>
              <w:rPr>
                <w:rFonts w:hint="eastAsia" w:ascii="宋体" w:hAnsi="宋体" w:cs="黑体"/>
                <w:szCs w:val="21"/>
              </w:rPr>
              <w:t>、</w:t>
            </w:r>
            <w:r>
              <w:rPr>
                <w:rFonts w:ascii="宋体" w:hAnsi="宋体" w:cs="黑体"/>
                <w:szCs w:val="21"/>
              </w:rPr>
              <w:t>浙江省发改委</w:t>
            </w:r>
            <w:r>
              <w:rPr>
                <w:rFonts w:hint="eastAsia" w:ascii="宋体" w:hAnsi="宋体" w:cs="黑体"/>
                <w:szCs w:val="21"/>
              </w:rPr>
              <w:t>、</w:t>
            </w:r>
            <w:r>
              <w:rPr>
                <w:rFonts w:ascii="宋体" w:hAnsi="宋体" w:cs="黑体"/>
                <w:szCs w:val="21"/>
              </w:rPr>
              <w:t>浙江省财政厅</w:t>
            </w:r>
            <w:r>
              <w:rPr>
                <w:rFonts w:hint="eastAsia" w:ascii="宋体" w:hAnsi="宋体" w:cs="黑体"/>
                <w:szCs w:val="21"/>
              </w:rPr>
              <w:t>、</w:t>
            </w:r>
            <w:r>
              <w:rPr>
                <w:rFonts w:ascii="宋体" w:hAnsi="宋体" w:cs="黑体"/>
                <w:szCs w:val="21"/>
              </w:rPr>
              <w:t>浙江省人力资源和社会保障厅</w:t>
            </w:r>
            <w:r>
              <w:rPr>
                <w:rFonts w:hint="eastAsia" w:ascii="宋体" w:hAnsi="宋体" w:cs="黑体"/>
                <w:szCs w:val="21"/>
              </w:rPr>
              <w:t>、</w:t>
            </w:r>
            <w:r>
              <w:rPr>
                <w:rFonts w:ascii="宋体" w:hAnsi="宋体" w:cs="黑体"/>
                <w:szCs w:val="21"/>
              </w:rPr>
              <w:t>浙江省物价局</w:t>
            </w:r>
            <w:r>
              <w:rPr>
                <w:rFonts w:hint="eastAsia" w:ascii="宋体" w:hAnsi="宋体" w:cs="黑体"/>
                <w:szCs w:val="21"/>
              </w:rPr>
              <w:t>、</w:t>
            </w:r>
            <w:r>
              <w:rPr>
                <w:rFonts w:ascii="宋体" w:hAnsi="宋体" w:cs="黑体"/>
                <w:szCs w:val="21"/>
              </w:rPr>
              <w:t>浙江省国家税务局</w:t>
            </w:r>
            <w:r>
              <w:rPr>
                <w:rFonts w:hint="eastAsia" w:ascii="宋体" w:hAnsi="宋体" w:cs="黑体"/>
                <w:szCs w:val="21"/>
              </w:rPr>
              <w:t>七厅局出台了《关于支持独立学院发展的若干意见》，就进一步促进独立学院持续健康发展作了明确规定，确立了独立学院的主体地位，理顺了独立学院的体制机制，完善了内部运行管理机制。在举办者同意、独立学院申报的基础上，经省独立学院规范设置专家组评估，省教育厅、省财政厅研究同意，2016年有浙江大学城市学院、浙江大学宁波理工学院、浙江工业大学之江学院、浙江农林大学暨阳学院通过独立学院规范设置省级验收，2017年又有浙江工商大学杭州商学院、宁波大学科学技术学院、温州大学瓯江学院、浙江师范大学行知学院、浙江财经大学东方学院通过独立学院规范设置省级验收。</w:t>
            </w:r>
          </w:p>
          <w:p>
            <w:pPr>
              <w:spacing w:line="400" w:lineRule="exact"/>
              <w:rPr>
                <w:rFonts w:ascii="宋体" w:hAnsi="宋体" w:cs="黑体"/>
                <w:szCs w:val="21"/>
              </w:rPr>
            </w:pPr>
            <w:r>
              <w:rPr>
                <w:rFonts w:ascii="宋体" w:hAnsi="宋体" w:cs="黑体"/>
                <w:szCs w:val="21"/>
              </w:rPr>
              <w:t>但是，</w:t>
            </w:r>
            <w:r>
              <w:rPr>
                <w:rFonts w:hint="eastAsia" w:ascii="宋体" w:hAnsi="宋体" w:cs="黑体"/>
                <w:szCs w:val="21"/>
              </w:rPr>
              <w:t>根据规范设置的要求，我省极大多数独立学院采取移地迁建办学，不少独立学院新校区建设形成了新一轮的债务，外迁后的运行成本大幅增加，破坏了独立学院原先形成的稳定局面，产生了较多的问题。独立学院的</w:t>
            </w:r>
            <w:r>
              <w:rPr>
                <w:rFonts w:ascii="宋体" w:hAnsi="宋体" w:cs="黑体"/>
                <w:szCs w:val="21"/>
              </w:rPr>
              <w:t>教学经费保障</w:t>
            </w:r>
            <w:r>
              <w:rPr>
                <w:rFonts w:hint="eastAsia" w:ascii="宋体" w:hAnsi="宋体" w:cs="黑体"/>
                <w:szCs w:val="21"/>
              </w:rPr>
              <w:t>落实</w:t>
            </w:r>
            <w:r>
              <w:rPr>
                <w:rFonts w:ascii="宋体" w:hAnsi="宋体" w:cs="黑体"/>
                <w:szCs w:val="21"/>
              </w:rPr>
              <w:t>方面，仍然存在政府</w:t>
            </w:r>
            <w:r>
              <w:rPr>
                <w:rFonts w:hint="eastAsia" w:ascii="宋体" w:hAnsi="宋体" w:cs="黑体"/>
                <w:szCs w:val="21"/>
              </w:rPr>
              <w:t>和母体对学院</w:t>
            </w:r>
            <w:r>
              <w:rPr>
                <w:rFonts w:ascii="宋体" w:hAnsi="宋体" w:cs="黑体"/>
                <w:szCs w:val="21"/>
              </w:rPr>
              <w:t>投入责任不</w:t>
            </w:r>
            <w:r>
              <w:rPr>
                <w:rFonts w:hint="eastAsia" w:ascii="宋体" w:hAnsi="宋体" w:cs="黑体"/>
                <w:szCs w:val="21"/>
              </w:rPr>
              <w:t>够</w:t>
            </w:r>
            <w:r>
              <w:rPr>
                <w:rFonts w:ascii="宋体" w:hAnsi="宋体" w:cs="黑体"/>
                <w:szCs w:val="21"/>
              </w:rPr>
              <w:t>明确</w:t>
            </w:r>
            <w:r>
              <w:rPr>
                <w:rFonts w:hint="eastAsia" w:ascii="宋体" w:hAnsi="宋体" w:cs="黑体"/>
                <w:szCs w:val="21"/>
              </w:rPr>
              <w:t>、收费机制不灵活，</w:t>
            </w:r>
            <w:r>
              <w:rPr>
                <w:rFonts w:ascii="宋体" w:hAnsi="宋体" w:cs="黑体"/>
                <w:szCs w:val="21"/>
              </w:rPr>
              <w:t>经费</w:t>
            </w:r>
            <w:r>
              <w:rPr>
                <w:rFonts w:hint="eastAsia" w:ascii="宋体" w:hAnsi="宋体" w:cs="黑体"/>
                <w:szCs w:val="21"/>
              </w:rPr>
              <w:t>投入总量不足</w:t>
            </w:r>
            <w:r>
              <w:rPr>
                <w:rFonts w:ascii="宋体" w:hAnsi="宋体" w:cs="黑体"/>
                <w:szCs w:val="21"/>
              </w:rPr>
              <w:t>、供需矛盾突出</w:t>
            </w:r>
            <w:r>
              <w:rPr>
                <w:rFonts w:hint="eastAsia" w:ascii="宋体" w:hAnsi="宋体" w:cs="黑体"/>
                <w:szCs w:val="21"/>
              </w:rPr>
              <w:t>，经费</w:t>
            </w:r>
            <w:r>
              <w:rPr>
                <w:rFonts w:ascii="宋体" w:hAnsi="宋体" w:cs="黑体"/>
                <w:szCs w:val="21"/>
              </w:rPr>
              <w:t>配置不尽合理</w:t>
            </w:r>
            <w:r>
              <w:rPr>
                <w:rFonts w:hint="eastAsia" w:ascii="宋体" w:hAnsi="宋体" w:cs="黑体"/>
                <w:szCs w:val="21"/>
              </w:rPr>
              <w:t>，使用管理不严、效益不佳等这样那样的问题，这些问题已直接影响到学校教学工作和人才培养质量的方方面面，</w:t>
            </w:r>
            <w:r>
              <w:rPr>
                <w:rFonts w:ascii="宋体" w:hAnsi="宋体" w:cs="黑体"/>
                <w:szCs w:val="21"/>
              </w:rPr>
              <w:t>不利于</w:t>
            </w:r>
            <w:r>
              <w:rPr>
                <w:rFonts w:hint="eastAsia" w:ascii="宋体" w:hAnsi="宋体" w:cs="黑体"/>
                <w:szCs w:val="21"/>
              </w:rPr>
              <w:t>学院</w:t>
            </w:r>
            <w:r>
              <w:rPr>
                <w:rFonts w:ascii="宋体" w:hAnsi="宋体" w:cs="黑体"/>
                <w:szCs w:val="21"/>
              </w:rPr>
              <w:t>教学事业健康发展，必须</w:t>
            </w:r>
            <w:r>
              <w:rPr>
                <w:rFonts w:hint="eastAsia" w:ascii="宋体" w:hAnsi="宋体" w:cs="黑体"/>
                <w:szCs w:val="21"/>
              </w:rPr>
              <w:t>采取</w:t>
            </w:r>
            <w:r>
              <w:rPr>
                <w:rFonts w:ascii="宋体" w:hAnsi="宋体" w:cs="黑体"/>
                <w:szCs w:val="21"/>
              </w:rPr>
              <w:t>改革</w:t>
            </w:r>
            <w:r>
              <w:rPr>
                <w:rFonts w:hint="eastAsia" w:ascii="宋体" w:hAnsi="宋体" w:cs="黑体"/>
                <w:szCs w:val="21"/>
              </w:rPr>
              <w:t>的方式加以解决</w:t>
            </w:r>
            <w:r>
              <w:rPr>
                <w:rFonts w:ascii="宋体" w:hAnsi="宋体" w:cs="黑体"/>
                <w:szCs w:val="21"/>
              </w:rPr>
              <w:t>。</w:t>
            </w:r>
          </w:p>
          <w:p>
            <w:pPr>
              <w:spacing w:line="400" w:lineRule="exact"/>
              <w:rPr>
                <w:rFonts w:ascii="宋体" w:hAnsi="宋体" w:cs="黑体"/>
                <w:szCs w:val="21"/>
              </w:rPr>
            </w:pPr>
            <w:r>
              <w:rPr>
                <w:rFonts w:hint="eastAsia" w:ascii="宋体" w:hAnsi="宋体" w:cs="黑体"/>
                <w:szCs w:val="21"/>
              </w:rPr>
              <w:t>通过本课题的研究，在浙江省独立学院教育经费投入不足，或者既定的教育经费约束条件下，政府和高校如何保证教学经费的投入，如何科学、合理地配置教学经费，加强教学经费使用的管理与监督，提高教学经费的使用效益，</w:t>
            </w:r>
            <w:r>
              <w:rPr>
                <w:rFonts w:ascii="宋体" w:hAnsi="宋体" w:cs="黑体"/>
                <w:szCs w:val="21"/>
              </w:rPr>
              <w:t>从理顺机制入手解决制约</w:t>
            </w:r>
            <w:r>
              <w:rPr>
                <w:rFonts w:hint="eastAsia" w:ascii="宋体" w:hAnsi="宋体" w:cs="黑体"/>
                <w:szCs w:val="21"/>
              </w:rPr>
              <w:t>独立学院人才培养</w:t>
            </w:r>
            <w:r>
              <w:rPr>
                <w:rFonts w:ascii="宋体" w:hAnsi="宋体" w:cs="黑体"/>
                <w:szCs w:val="21"/>
              </w:rPr>
              <w:t>的经费</w:t>
            </w:r>
            <w:r>
              <w:rPr>
                <w:rFonts w:hint="eastAsia" w:ascii="宋体" w:hAnsi="宋体" w:cs="黑体"/>
                <w:szCs w:val="21"/>
              </w:rPr>
              <w:t>保障</w:t>
            </w:r>
            <w:r>
              <w:rPr>
                <w:rFonts w:ascii="宋体" w:hAnsi="宋体" w:cs="黑体"/>
                <w:szCs w:val="21"/>
              </w:rPr>
              <w:t>问题，</w:t>
            </w:r>
            <w:r>
              <w:rPr>
                <w:rFonts w:hint="eastAsia" w:ascii="宋体" w:hAnsi="宋体" w:cs="黑体"/>
                <w:szCs w:val="21"/>
              </w:rPr>
              <w:t>提高独立学院</w:t>
            </w:r>
            <w:r>
              <w:rPr>
                <w:rFonts w:ascii="宋体" w:hAnsi="宋体" w:cs="黑体"/>
                <w:szCs w:val="21"/>
              </w:rPr>
              <w:t>教学质量</w:t>
            </w:r>
            <w:r>
              <w:rPr>
                <w:rFonts w:hint="eastAsia" w:ascii="宋体" w:hAnsi="宋体" w:cs="黑体"/>
                <w:szCs w:val="21"/>
              </w:rPr>
              <w:t>，促进学院</w:t>
            </w:r>
            <w:r>
              <w:rPr>
                <w:rFonts w:ascii="宋体" w:hAnsi="宋体" w:cs="黑体"/>
                <w:szCs w:val="21"/>
              </w:rPr>
              <w:t>教学改革，</w:t>
            </w:r>
            <w:r>
              <w:rPr>
                <w:rFonts w:hint="eastAsia" w:ascii="宋体" w:hAnsi="宋体" w:cs="黑体"/>
                <w:szCs w:val="21"/>
              </w:rPr>
              <w:t>为独立学院</w:t>
            </w:r>
            <w:r>
              <w:rPr>
                <w:rFonts w:ascii="宋体" w:hAnsi="宋体" w:cs="黑体"/>
                <w:szCs w:val="21"/>
              </w:rPr>
              <w:t>培养德智体美全面发展的高素质专门人才和创新人才</w:t>
            </w:r>
            <w:r>
              <w:rPr>
                <w:rFonts w:hint="eastAsia" w:ascii="宋体" w:hAnsi="宋体" w:cs="黑体"/>
                <w:szCs w:val="21"/>
              </w:rPr>
              <w:t>，建立教学经费保障的长效机制具有深远的意义；对于独立学院加强教学建设、转变教学理念、优化教学环节、拓展教学改革思路、完善教学改革的措施，提高教学质量和办学水平，实现培养高素质优秀人才的目标等方面发挥经济支撑和促进作用；对于厘定教学经费内涵，加强教学经费的分类研究，明确教学经费支出的范围、项目，提出教学经费保障的规模、结构、水平等指标，规范教学经费支出的核算，提高教学经费支出可统计性，确保教学经费专款专用具有现实的指导意义。</w:t>
            </w:r>
          </w:p>
          <w:p>
            <w:pPr>
              <w:widowControl/>
              <w:spacing w:line="640" w:lineRule="atLeast"/>
              <w:ind w:firstLine="480"/>
              <w:textAlignment w:val="baseline"/>
              <w:rPr>
                <w:rFonts w:eastAsia="仿宋_GB2312"/>
                <w:color w:val="000000"/>
                <w:sz w:val="28"/>
                <w:u w:color="000000"/>
              </w:rPr>
            </w:pPr>
            <w:r>
              <w:rPr>
                <w:rFonts w:hint="eastAsia" w:ascii="仿宋_GB2312" w:eastAsia="仿宋_GB2312"/>
                <w:b/>
                <w:color w:val="000000"/>
                <w:sz w:val="24"/>
              </w:rPr>
              <w:t>（二）现状分析</w:t>
            </w:r>
          </w:p>
          <w:p>
            <w:pPr>
              <w:spacing w:line="400" w:lineRule="exact"/>
              <w:rPr>
                <w:rFonts w:ascii="宋体" w:hAnsi="宋体" w:cs="黑体"/>
                <w:szCs w:val="21"/>
              </w:rPr>
            </w:pPr>
            <w:r>
              <w:rPr>
                <w:rFonts w:hint="eastAsia" w:ascii="宋体" w:hAnsi="宋体" w:cs="黑体"/>
                <w:szCs w:val="21"/>
              </w:rPr>
              <w:t>从1999年首批独立学院成立以来，独立学院的发展如同我国高等教育事业进入一个快速发展的时期，实现了历史性跨越。到</w:t>
            </w:r>
            <w:r>
              <w:rPr>
                <w:rFonts w:ascii="宋体" w:hAnsi="宋体" w:cs="黑体"/>
                <w:szCs w:val="21"/>
              </w:rPr>
              <w:t>20</w:t>
            </w:r>
            <w:r>
              <w:rPr>
                <w:rFonts w:hint="eastAsia" w:ascii="宋体" w:hAnsi="宋体" w:cs="黑体"/>
                <w:szCs w:val="21"/>
              </w:rPr>
              <w:t>17</w:t>
            </w:r>
            <w:r>
              <w:rPr>
                <w:rFonts w:ascii="宋体" w:hAnsi="宋体" w:cs="黑体"/>
                <w:szCs w:val="21"/>
              </w:rPr>
              <w:t>年</w:t>
            </w:r>
            <w:r>
              <w:rPr>
                <w:rFonts w:hint="eastAsia" w:ascii="宋体" w:hAnsi="宋体" w:cs="黑体"/>
                <w:szCs w:val="21"/>
              </w:rPr>
              <w:t>末</w:t>
            </w:r>
            <w:r>
              <w:rPr>
                <w:rFonts w:ascii="宋体" w:hAnsi="宋体" w:cs="黑体"/>
                <w:szCs w:val="21"/>
              </w:rPr>
              <w:t>，</w:t>
            </w:r>
            <w:r>
              <w:rPr>
                <w:rFonts w:hint="eastAsia" w:ascii="宋体" w:hAnsi="宋体" w:cs="黑体"/>
                <w:szCs w:val="21"/>
              </w:rPr>
              <w:t>全国各类高等教育在学总规模达到3779万人，高等教育毛入学率达到45.7%。全国共有普通高等学校2631所（</w:t>
            </w:r>
            <w:r>
              <w:rPr>
                <w:rFonts w:ascii="宋体" w:hAnsi="宋体" w:cs="黑体"/>
                <w:szCs w:val="21"/>
              </w:rPr>
              <w:t>含独立学院265所），</w:t>
            </w:r>
            <w:r>
              <w:rPr>
                <w:rFonts w:hint="eastAsia" w:ascii="宋体" w:hAnsi="宋体" w:cs="黑体"/>
                <w:szCs w:val="21"/>
              </w:rPr>
              <w:t>比上年增加35所。</w:t>
            </w:r>
            <w:r>
              <w:rPr>
                <w:rFonts w:ascii="宋体" w:hAnsi="宋体" w:cs="黑体"/>
                <w:szCs w:val="21"/>
              </w:rPr>
              <w:t>我省高等教育</w:t>
            </w:r>
            <w:r>
              <w:rPr>
                <w:rFonts w:hint="eastAsia" w:ascii="宋体" w:hAnsi="宋体" w:cs="黑体"/>
                <w:szCs w:val="21"/>
              </w:rPr>
              <w:t>也</w:t>
            </w:r>
            <w:r>
              <w:rPr>
                <w:rFonts w:ascii="宋体" w:hAnsi="宋体" w:cs="黑体"/>
                <w:szCs w:val="21"/>
              </w:rPr>
              <w:t>实现了跨越式发展，</w:t>
            </w:r>
            <w:r>
              <w:rPr>
                <w:rFonts w:hint="eastAsia" w:ascii="宋体" w:hAnsi="宋体" w:cs="黑体"/>
                <w:szCs w:val="21"/>
              </w:rPr>
              <w:t>提前全国一年</w:t>
            </w:r>
            <w:r>
              <w:rPr>
                <w:rFonts w:ascii="宋体" w:hAnsi="宋体" w:cs="黑体"/>
                <w:szCs w:val="21"/>
              </w:rPr>
              <w:t>步入了大众化发展阶段。省委、省政府始终高度重视高等教育的改革与发展，把高等教育摆在建设教育强省和创新型省份的重要位置来抓。通过各级各有关部门和全社会的不懈努力，我省高等教育工作取得了很大成绩，</w:t>
            </w:r>
            <w:r>
              <w:rPr>
                <w:rFonts w:hint="eastAsia" w:ascii="宋体" w:hAnsi="宋体" w:cs="黑体"/>
                <w:szCs w:val="21"/>
              </w:rPr>
              <w:t>高等学校办学条件得到极大改善，</w:t>
            </w:r>
            <w:r>
              <w:rPr>
                <w:rFonts w:ascii="宋体" w:hAnsi="宋体" w:cs="黑体"/>
                <w:szCs w:val="21"/>
              </w:rPr>
              <w:t>积累了</w:t>
            </w:r>
            <w:r>
              <w:rPr>
                <w:rFonts w:hint="eastAsia" w:ascii="宋体" w:hAnsi="宋体" w:cs="黑体"/>
                <w:szCs w:val="21"/>
              </w:rPr>
              <w:t>丰富的办学</w:t>
            </w:r>
            <w:r>
              <w:rPr>
                <w:rFonts w:ascii="宋体" w:hAnsi="宋体" w:cs="黑体"/>
                <w:szCs w:val="21"/>
              </w:rPr>
              <w:t>经验</w:t>
            </w:r>
            <w:r>
              <w:rPr>
                <w:rFonts w:hint="eastAsia" w:ascii="宋体" w:hAnsi="宋体" w:cs="黑体"/>
                <w:szCs w:val="21"/>
              </w:rPr>
              <w:t>。自2008年4月1日教育部的《独立学院设置与管理办法》出台以来，我省独立学院掀起了一个新的发展高潮。1998年，我省高考录取率仅为35%，高等教育毛入学率仅为8.96%，到2017年高等教育毛入学率就达到58.2%，顺利进入大众化阶段。全省现有普通高校108所（含独立学院及筹建院校</w:t>
            </w:r>
            <w:r>
              <w:rPr>
                <w:rFonts w:ascii="宋体" w:hAnsi="宋体" w:cs="黑体"/>
                <w:szCs w:val="21"/>
              </w:rPr>
              <w:t>）</w:t>
            </w:r>
            <w:r>
              <w:rPr>
                <w:rFonts w:hint="eastAsia" w:ascii="宋体" w:hAnsi="宋体" w:cs="黑体"/>
                <w:szCs w:val="21"/>
              </w:rPr>
              <w:t>，比1998年增加76所；2017年全省有普通本专科在校生近100.23万人，比1998年增加88万人。目前，我省有20所高校共设置了21所独立学院，2017年浙江省独立学院招生4.15万人，占浙江普通本科高校招生数15.75万人的26.3%；在校生数16.39万人，占浙江普通本科高校在校生数61.63万人的26.6%。</w:t>
            </w:r>
          </w:p>
          <w:p>
            <w:pPr>
              <w:rPr>
                <w:rFonts w:ascii="宋体" w:hAnsi="宋体" w:cs="黑体"/>
                <w:szCs w:val="21"/>
              </w:rPr>
            </w:pPr>
            <w:r>
              <w:rPr>
                <w:rFonts w:hint="eastAsia" w:ascii="宋体" w:hAnsi="宋体" w:cs="黑体"/>
                <w:szCs w:val="21"/>
              </w:rPr>
              <w:t>我国独立学院的产生是我国高等教育系统演变的一种制度创新。它的产生和发展缓解了我国高等教育供给不足的问题，扩大优质教育资源、满足人民群众教育需求、吸引社会力量办学、创新教育体制机制，有力地推动了我国高等教育大众化的进程。</w:t>
            </w:r>
            <w:r>
              <w:rPr>
                <w:rFonts w:hint="eastAsia" w:ascii="宋体" w:hAnsi="宋体" w:cs="宋体"/>
                <w:szCs w:val="21"/>
              </w:rPr>
              <w:t>取得巨大成绩的同时，我们应当清醒地看到，我省独立学院在发展和前进的过程中还存在着一些突出的矛盾和问题。</w:t>
            </w:r>
            <w:r>
              <w:rPr>
                <w:rFonts w:hint="eastAsia" w:ascii="宋体" w:hAnsi="宋体" w:cs="黑体"/>
                <w:szCs w:val="21"/>
              </w:rPr>
              <w:t>从独立学院规范化设置以来，我省独立学院大多数采用由地方政府与高校合作举办“新的独立学院”，还存在诸如完全走民办道路难、法人治理机制不完善、专业设置不科学、办学自主权缺乏、教师数量少等问题，而我省独立学院的教学经费投入保障方面的问题尤其突出。</w:t>
            </w:r>
          </w:p>
          <w:p>
            <w:pPr>
              <w:spacing w:line="400" w:lineRule="exact"/>
              <w:ind w:firstLine="438"/>
              <w:rPr>
                <w:rFonts w:ascii="宋体" w:hAnsi="宋体" w:cs="黑体"/>
                <w:szCs w:val="21"/>
              </w:rPr>
            </w:pPr>
            <w:r>
              <w:rPr>
                <w:rFonts w:hint="eastAsia" w:ascii="宋体" w:hAnsi="宋体" w:cs="宋体"/>
                <w:b/>
                <w:spacing w:val="4"/>
                <w:szCs w:val="21"/>
              </w:rPr>
              <w:t>从总体投入层面看，</w:t>
            </w:r>
            <w:r>
              <w:rPr>
                <w:rFonts w:hint="eastAsia" w:ascii="宋体" w:hAnsi="宋体"/>
                <w:b/>
                <w:spacing w:val="4"/>
                <w:szCs w:val="21"/>
              </w:rPr>
              <w:t>独立学院通过规范化设置转型中后续教学管理的“经费匮乏”的困境已经显现。</w:t>
            </w:r>
            <w:r>
              <w:rPr>
                <w:rFonts w:hint="eastAsia" w:ascii="宋体" w:hAnsi="宋体" w:cs="黑体"/>
                <w:szCs w:val="21"/>
              </w:rPr>
              <w:t>资金运作始终是独立学院在运营和规模扩张中的大事，浙江省极大多数独立学院都由高校母体与地方政府作为联合投资主体，母体以无形资产、教学科研人才及部分资金投入为出资条件，地方政府以土地、初始建设资金和引入地方人才优惠措施为条件，组建了新的独立学院，独立学院无论办学规模、办学实力都有长足进步</w:t>
            </w:r>
            <w:r>
              <w:rPr>
                <w:rFonts w:hint="eastAsia" w:ascii="宋体" w:hAnsi="宋体" w:cs="黑体"/>
                <w:b/>
                <w:szCs w:val="21"/>
              </w:rPr>
              <w:t>（详见表一：浙江省部分独立学院基本情况表）</w:t>
            </w:r>
            <w:r>
              <w:rPr>
                <w:rFonts w:hint="eastAsia" w:ascii="宋体" w:hAnsi="宋体" w:cs="黑体"/>
                <w:szCs w:val="21"/>
              </w:rPr>
              <w:t>，同时新的独立学院的办学成本也出现大幅增长。而独立学院依然以学费作为学校办学经费主要的</w:t>
            </w:r>
            <w:r>
              <w:rPr>
                <w:rFonts w:hint="eastAsia" w:ascii="宋体" w:hAnsi="宋体" w:cs="黑体"/>
                <w:b/>
                <w:szCs w:val="21"/>
              </w:rPr>
              <w:t>（详见表二：浙江省部分独立学院2016年学费收入占比情况表）</w:t>
            </w:r>
            <w:r>
              <w:rPr>
                <w:rFonts w:hint="eastAsia" w:ascii="宋体" w:hAnsi="宋体" w:cs="黑体"/>
                <w:szCs w:val="21"/>
              </w:rPr>
              <w:t>，甚至是唯一的收入来源，独立学院缺少政府财政的支持</w:t>
            </w:r>
            <w:r>
              <w:rPr>
                <w:rFonts w:ascii="宋体" w:hAnsi="宋体" w:cs="黑体"/>
                <w:szCs w:val="21"/>
              </w:rPr>
              <w:t>,</w:t>
            </w:r>
            <w:r>
              <w:rPr>
                <w:rFonts w:hint="eastAsia" w:ascii="宋体" w:hAnsi="宋体" w:cs="黑体"/>
                <w:szCs w:val="21"/>
              </w:rPr>
              <w:t>经费来源单一</w:t>
            </w:r>
            <w:r>
              <w:rPr>
                <w:rFonts w:ascii="宋体" w:hAnsi="宋体" w:cs="黑体"/>
                <w:szCs w:val="21"/>
              </w:rPr>
              <w:t>,</w:t>
            </w:r>
            <w:r>
              <w:rPr>
                <w:rFonts w:hint="eastAsia" w:ascii="宋体" w:hAnsi="宋体" w:cs="黑体"/>
                <w:szCs w:val="21"/>
              </w:rPr>
              <w:t>财务风险</w:t>
            </w:r>
            <w:r>
              <w:rPr>
                <w:rFonts w:ascii="宋体" w:hAnsi="宋体" w:cs="黑体"/>
                <w:szCs w:val="21"/>
              </w:rPr>
              <w:t>,</w:t>
            </w:r>
            <w:r>
              <w:rPr>
                <w:rFonts w:hint="eastAsia" w:ascii="宋体" w:hAnsi="宋体" w:cs="黑体"/>
                <w:szCs w:val="21"/>
              </w:rPr>
              <w:t>倘若生源出现问题</w:t>
            </w:r>
            <w:r>
              <w:rPr>
                <w:rFonts w:ascii="宋体" w:hAnsi="宋体" w:cs="黑体"/>
                <w:szCs w:val="21"/>
              </w:rPr>
              <w:t>,</w:t>
            </w:r>
            <w:r>
              <w:rPr>
                <w:rFonts w:hint="eastAsia" w:ascii="宋体" w:hAnsi="宋体" w:cs="黑体"/>
                <w:szCs w:val="21"/>
              </w:rPr>
              <w:t>那么就会直接影响到独立学院的资金收入的规模</w:t>
            </w:r>
            <w:r>
              <w:rPr>
                <w:rFonts w:ascii="宋体" w:hAnsi="宋体" w:cs="黑体"/>
                <w:szCs w:val="21"/>
              </w:rPr>
              <w:t>,</w:t>
            </w:r>
            <w:r>
              <w:rPr>
                <w:rFonts w:hint="eastAsia" w:ascii="宋体" w:hAnsi="宋体" w:cs="黑体"/>
                <w:szCs w:val="21"/>
              </w:rPr>
              <w:t>教育质量无法保障。在资金紧缺的情况下</w:t>
            </w:r>
            <w:r>
              <w:rPr>
                <w:rFonts w:ascii="宋体" w:hAnsi="宋体" w:cs="黑体"/>
                <w:szCs w:val="21"/>
              </w:rPr>
              <w:t>,</w:t>
            </w:r>
            <w:r>
              <w:rPr>
                <w:rFonts w:hint="eastAsia" w:ascii="宋体" w:hAnsi="宋体" w:cs="黑体"/>
                <w:szCs w:val="21"/>
              </w:rPr>
              <w:t>一些独立学院会向金融机构举债</w:t>
            </w:r>
            <w:r>
              <w:rPr>
                <w:rFonts w:ascii="宋体" w:hAnsi="宋体" w:cs="黑体"/>
                <w:szCs w:val="21"/>
              </w:rPr>
              <w:t>,</w:t>
            </w:r>
            <w:r>
              <w:rPr>
                <w:rFonts w:hint="eastAsia" w:ascii="宋体" w:hAnsi="宋体" w:cs="黑体"/>
                <w:szCs w:val="21"/>
              </w:rPr>
              <w:t>以缓解资金压力</w:t>
            </w:r>
            <w:r>
              <w:rPr>
                <w:rFonts w:ascii="宋体" w:hAnsi="宋体" w:cs="黑体"/>
                <w:szCs w:val="21"/>
              </w:rPr>
              <w:t>,</w:t>
            </w:r>
            <w:r>
              <w:rPr>
                <w:rFonts w:hint="eastAsia" w:ascii="宋体" w:hAnsi="宋体" w:cs="黑体"/>
                <w:szCs w:val="21"/>
              </w:rPr>
              <w:t>巨额负债在很大程度上加大了独立学院的财务风险。</w:t>
            </w:r>
          </w:p>
          <w:p>
            <w:pPr>
              <w:spacing w:line="400" w:lineRule="exact"/>
              <w:jc w:val="center"/>
              <w:rPr>
                <w:rFonts w:ascii="宋体" w:hAnsi="宋体" w:cs="黑体"/>
                <w:szCs w:val="21"/>
              </w:rPr>
            </w:pPr>
            <w:r>
              <w:rPr>
                <w:rFonts w:hint="eastAsia" w:ascii="宋体" w:hAnsi="宋体" w:cs="黑体"/>
                <w:szCs w:val="21"/>
              </w:rPr>
              <w:t>浙江省部分独立学院基本情况表（表一）</w:t>
            </w:r>
          </w:p>
          <w:tbl>
            <w:tblPr>
              <w:tblStyle w:val="20"/>
              <w:tblpPr w:leftFromText="180" w:rightFromText="180" w:vertAnchor="text" w:horzAnchor="margin" w:tblpXSpec="center" w:tblpY="44"/>
              <w:tblOverlap w:val="never"/>
              <w:tblW w:w="8047"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3"/>
              <w:gridCol w:w="1737"/>
              <w:gridCol w:w="1869"/>
              <w:gridCol w:w="1638"/>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6" w:hRule="exact"/>
              </w:trPr>
              <w:tc>
                <w:tcPr>
                  <w:tcW w:w="2803" w:type="dxa"/>
                  <w:tcBorders>
                    <w:top w:val="single" w:color="000000" w:themeColor="text1" w:sz="8" w:space="0"/>
                    <w:left w:val="nil"/>
                    <w:bottom w:val="single" w:color="000000" w:themeColor="text1" w:sz="8" w:space="0"/>
                    <w:right w:val="nil"/>
                    <w:insideH w:val="single" w:sz="8" w:space="0"/>
                    <w:insideV w:val="nil"/>
                  </w:tcBorders>
                  <w:vAlign w:val="center"/>
                </w:tcPr>
                <w:p>
                  <w:pPr>
                    <w:spacing w:before="0" w:after="0"/>
                    <w:ind w:firstLine="625" w:firstLineChars="346"/>
                    <w:rPr>
                      <w:b/>
                      <w:bCs/>
                      <w:color w:val="000000" w:themeColor="text1" w:themeShade="BF"/>
                      <w:sz w:val="18"/>
                      <w:szCs w:val="18"/>
                    </w:rPr>
                  </w:pPr>
                  <w:r>
                    <w:rPr>
                      <w:rFonts w:hint="eastAsia"/>
                      <w:b/>
                      <w:bCs/>
                      <w:color w:val="000000" w:themeColor="text1" w:themeShade="BF"/>
                      <w:sz w:val="18"/>
                      <w:szCs w:val="18"/>
                    </w:rPr>
                    <w:t>学校</w:t>
                  </w:r>
                </w:p>
              </w:tc>
              <w:tc>
                <w:tcPr>
                  <w:tcW w:w="1737" w:type="dxa"/>
                  <w:tcBorders>
                    <w:top w:val="single" w:color="000000" w:themeColor="text1" w:sz="8" w:space="0"/>
                    <w:bottom w:val="single" w:color="000000" w:themeColor="text1" w:sz="8" w:space="0"/>
                    <w:right w:val="nil"/>
                    <w:insideH w:val="single" w:sz="8" w:space="0"/>
                    <w:insideV w:val="nil"/>
                  </w:tcBorders>
                  <w:vAlign w:val="center"/>
                </w:tcPr>
                <w:p>
                  <w:pPr>
                    <w:spacing w:before="0" w:after="0"/>
                    <w:ind w:firstLine="0" w:firstLineChars="0"/>
                    <w:jc w:val="center"/>
                    <w:rPr>
                      <w:b/>
                      <w:bCs/>
                      <w:color w:val="000000" w:themeColor="text1" w:themeShade="BF"/>
                      <w:sz w:val="18"/>
                      <w:szCs w:val="18"/>
                    </w:rPr>
                  </w:pPr>
                  <w:r>
                    <w:rPr>
                      <w:rFonts w:hint="eastAsia"/>
                      <w:b/>
                      <w:bCs/>
                      <w:color w:val="000000" w:themeColor="text1" w:themeShade="BF"/>
                      <w:sz w:val="18"/>
                      <w:szCs w:val="18"/>
                    </w:rPr>
                    <w:t>校园占地面积</w:t>
                  </w:r>
                </w:p>
                <w:p>
                  <w:pPr>
                    <w:spacing w:before="0" w:after="0"/>
                    <w:ind w:firstLine="0" w:firstLineChars="0"/>
                    <w:jc w:val="center"/>
                    <w:rPr>
                      <w:b/>
                      <w:bCs/>
                      <w:color w:val="000000" w:themeColor="text1" w:themeShade="BF"/>
                      <w:sz w:val="18"/>
                      <w:szCs w:val="18"/>
                    </w:rPr>
                  </w:pPr>
                  <w:r>
                    <w:rPr>
                      <w:rFonts w:hint="eastAsia"/>
                      <w:b/>
                      <w:bCs/>
                      <w:color w:val="000000" w:themeColor="text1" w:themeShade="BF"/>
                      <w:sz w:val="18"/>
                      <w:szCs w:val="18"/>
                    </w:rPr>
                    <w:t>（亩）</w:t>
                  </w:r>
                </w:p>
              </w:tc>
              <w:tc>
                <w:tcPr>
                  <w:tcW w:w="1869" w:type="dxa"/>
                  <w:tcBorders>
                    <w:top w:val="single" w:color="000000" w:themeColor="text1" w:sz="8" w:space="0"/>
                    <w:bottom w:val="single" w:color="000000" w:themeColor="text1" w:sz="8" w:space="0"/>
                    <w:right w:val="nil"/>
                    <w:insideH w:val="single" w:sz="8" w:space="0"/>
                    <w:insideV w:val="nil"/>
                  </w:tcBorders>
                </w:tcPr>
                <w:p>
                  <w:pPr>
                    <w:spacing w:before="0" w:after="0"/>
                    <w:ind w:firstLine="0" w:firstLineChars="0"/>
                    <w:jc w:val="center"/>
                    <w:rPr>
                      <w:b/>
                      <w:bCs/>
                      <w:color w:val="000000" w:themeColor="text1" w:themeShade="BF"/>
                      <w:sz w:val="18"/>
                      <w:szCs w:val="18"/>
                    </w:rPr>
                  </w:pPr>
                  <w:r>
                    <w:rPr>
                      <w:rFonts w:hint="eastAsia"/>
                      <w:b/>
                      <w:bCs/>
                      <w:color w:val="000000" w:themeColor="text1" w:themeShade="BF"/>
                      <w:sz w:val="18"/>
                      <w:szCs w:val="18"/>
                    </w:rPr>
                    <w:t>校舍建筑总面积</w:t>
                  </w:r>
                </w:p>
                <w:p>
                  <w:pPr>
                    <w:spacing w:before="0" w:after="0"/>
                    <w:ind w:firstLine="0" w:firstLineChars="0"/>
                    <w:jc w:val="center"/>
                    <w:rPr>
                      <w:b/>
                      <w:bCs/>
                      <w:color w:val="000000" w:themeColor="text1" w:themeShade="BF"/>
                      <w:sz w:val="18"/>
                      <w:szCs w:val="18"/>
                    </w:rPr>
                  </w:pPr>
                  <w:r>
                    <w:rPr>
                      <w:rFonts w:hint="eastAsia"/>
                      <w:b/>
                      <w:bCs/>
                      <w:color w:val="000000" w:themeColor="text1" w:themeShade="BF"/>
                      <w:sz w:val="18"/>
                      <w:szCs w:val="18"/>
                    </w:rPr>
                    <w:t>(万方)</w:t>
                  </w:r>
                </w:p>
              </w:tc>
              <w:tc>
                <w:tcPr>
                  <w:tcW w:w="1638" w:type="dxa"/>
                  <w:tcBorders>
                    <w:top w:val="single" w:color="000000" w:themeColor="text1" w:sz="8" w:space="0"/>
                    <w:bottom w:val="single" w:color="000000" w:themeColor="text1" w:sz="8" w:space="0"/>
                    <w:right w:val="nil"/>
                    <w:insideH w:val="single" w:sz="8" w:space="0"/>
                    <w:insideV w:val="nil"/>
                  </w:tcBorders>
                </w:tcPr>
                <w:p>
                  <w:pPr>
                    <w:spacing w:before="0" w:after="0"/>
                    <w:ind w:firstLine="0" w:firstLineChars="0"/>
                    <w:jc w:val="center"/>
                    <w:rPr>
                      <w:b/>
                      <w:bCs/>
                      <w:color w:val="000000" w:themeColor="text1" w:themeShade="BF"/>
                      <w:sz w:val="18"/>
                      <w:szCs w:val="18"/>
                    </w:rPr>
                  </w:pPr>
                  <w:r>
                    <w:rPr>
                      <w:rFonts w:hint="eastAsia"/>
                      <w:b/>
                      <w:bCs/>
                      <w:color w:val="000000" w:themeColor="text1" w:themeShade="BF"/>
                      <w:sz w:val="18"/>
                      <w:szCs w:val="18"/>
                    </w:rPr>
                    <w:t>固定资产价值</w:t>
                  </w:r>
                </w:p>
                <w:p>
                  <w:pPr>
                    <w:spacing w:before="0" w:after="0"/>
                    <w:ind w:firstLine="0" w:firstLineChars="0"/>
                    <w:jc w:val="center"/>
                    <w:rPr>
                      <w:b/>
                      <w:bCs/>
                      <w:color w:val="000000" w:themeColor="text1" w:themeShade="BF"/>
                      <w:sz w:val="18"/>
                      <w:szCs w:val="18"/>
                    </w:rPr>
                  </w:pPr>
                  <w:r>
                    <w:rPr>
                      <w:rFonts w:hint="eastAsia"/>
                      <w:b/>
                      <w:bCs/>
                      <w:color w:val="000000" w:themeColor="text1" w:themeShade="BF"/>
                      <w:sz w:val="18"/>
                      <w:szCs w:val="18"/>
                    </w:rPr>
                    <w:t>（万元）</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Borders>
                    <w:left w:val="nil"/>
                    <w:right w:val="nil"/>
                    <w:insideV w:val="nil"/>
                  </w:tcBorders>
                  <w:shd w:val="clear" w:color="auto" w:fill="BFBFBF" w:themeFill="text1" w:themeFillTint="3F"/>
                </w:tcPr>
                <w:p>
                  <w:pPr>
                    <w:ind w:firstLine="0" w:firstLineChars="0"/>
                    <w:rPr>
                      <w:b/>
                      <w:bCs/>
                      <w:color w:val="000000" w:themeColor="text1" w:themeShade="BF"/>
                      <w:sz w:val="18"/>
                      <w:szCs w:val="18"/>
                    </w:rPr>
                  </w:pPr>
                  <w:r>
                    <w:rPr>
                      <w:rFonts w:hint="eastAsia"/>
                      <w:b/>
                      <w:bCs/>
                      <w:color w:val="000000" w:themeColor="text1" w:themeShade="BF"/>
                      <w:sz w:val="18"/>
                      <w:szCs w:val="18"/>
                    </w:rPr>
                    <w:t>浙江大学城市学院</w:t>
                  </w:r>
                </w:p>
              </w:tc>
              <w:tc>
                <w:tcPr>
                  <w:tcW w:w="1737" w:type="dxa"/>
                  <w:tcBorders>
                    <w:right w:val="nil"/>
                    <w:insideV w:val="nil"/>
                  </w:tcBorders>
                  <w:shd w:val="clear" w:color="auto" w:fill="BFBFBF" w:themeFill="text1" w:themeFillTint="3F"/>
                </w:tcPr>
                <w:p>
                  <w:pPr>
                    <w:ind w:firstLine="360"/>
                    <w:rPr>
                      <w:color w:val="000000" w:themeColor="text1" w:themeShade="BF"/>
                      <w:sz w:val="18"/>
                      <w:szCs w:val="18"/>
                    </w:rPr>
                  </w:pPr>
                  <w:r>
                    <w:rPr>
                      <w:rFonts w:hint="eastAsia"/>
                      <w:color w:val="000000" w:themeColor="text1" w:themeShade="BF"/>
                      <w:sz w:val="18"/>
                      <w:szCs w:val="18"/>
                    </w:rPr>
                    <w:t xml:space="preserve">1,027.00 </w:t>
                  </w:r>
                </w:p>
              </w:tc>
              <w:tc>
                <w:tcPr>
                  <w:tcW w:w="1869" w:type="dxa"/>
                  <w:tcBorders>
                    <w:right w:val="nil"/>
                    <w:insideV w:val="nil"/>
                  </w:tcBorders>
                  <w:shd w:val="clear" w:color="auto" w:fill="BFBFBF" w:themeFill="text1" w:themeFillTint="3F"/>
                </w:tcPr>
                <w:p>
                  <w:pPr>
                    <w:ind w:firstLine="360"/>
                    <w:rPr>
                      <w:color w:val="000000" w:themeColor="text1" w:themeShade="BF"/>
                      <w:sz w:val="18"/>
                      <w:szCs w:val="18"/>
                    </w:rPr>
                  </w:pPr>
                  <w:r>
                    <w:rPr>
                      <w:rFonts w:hint="eastAsia"/>
                      <w:color w:val="000000" w:themeColor="text1" w:themeShade="BF"/>
                      <w:sz w:val="18"/>
                      <w:szCs w:val="18"/>
                    </w:rPr>
                    <w:t xml:space="preserve">44.30 </w:t>
                  </w:r>
                </w:p>
              </w:tc>
              <w:tc>
                <w:tcPr>
                  <w:tcW w:w="1638" w:type="dxa"/>
                  <w:tcBorders>
                    <w:right w:val="nil"/>
                    <w:insideV w:val="nil"/>
                  </w:tcBorders>
                  <w:shd w:val="clear" w:color="auto" w:fill="BFBFBF" w:themeFill="text1" w:themeFillTint="3F"/>
                </w:tcPr>
                <w:p>
                  <w:pPr>
                    <w:ind w:firstLine="360"/>
                    <w:rPr>
                      <w:color w:val="000000" w:themeColor="text1" w:themeShade="BF"/>
                      <w:sz w:val="18"/>
                      <w:szCs w:val="18"/>
                    </w:rPr>
                  </w:pPr>
                  <w:r>
                    <w:rPr>
                      <w:color w:val="000000" w:themeColor="text1" w:themeShade="BF"/>
                      <w:sz w:val="18"/>
                      <w:szCs w:val="18"/>
                    </w:rPr>
                    <w:t xml:space="preserve">174,193.00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Pr>
                <w:p>
                  <w:pPr>
                    <w:ind w:firstLine="0" w:firstLineChars="0"/>
                    <w:rPr>
                      <w:b/>
                      <w:bCs/>
                      <w:color w:val="000000" w:themeColor="text1" w:themeShade="BF"/>
                      <w:sz w:val="18"/>
                      <w:szCs w:val="18"/>
                    </w:rPr>
                  </w:pPr>
                  <w:r>
                    <w:rPr>
                      <w:rFonts w:hint="eastAsia"/>
                      <w:b/>
                      <w:bCs/>
                      <w:color w:val="000000" w:themeColor="text1" w:themeShade="BF"/>
                      <w:sz w:val="18"/>
                      <w:szCs w:val="18"/>
                    </w:rPr>
                    <w:t>浙江大学宁波理工学院</w:t>
                  </w:r>
                </w:p>
              </w:tc>
              <w:tc>
                <w:tcPr>
                  <w:tcW w:w="1737" w:type="dxa"/>
                </w:tcPr>
                <w:p>
                  <w:pPr>
                    <w:ind w:firstLine="360"/>
                    <w:rPr>
                      <w:color w:val="000000" w:themeColor="text1" w:themeShade="BF"/>
                      <w:sz w:val="18"/>
                      <w:szCs w:val="18"/>
                    </w:rPr>
                  </w:pPr>
                  <w:r>
                    <w:rPr>
                      <w:rFonts w:hint="eastAsia"/>
                      <w:color w:val="000000" w:themeColor="text1" w:themeShade="BF"/>
                      <w:sz w:val="18"/>
                      <w:szCs w:val="18"/>
                    </w:rPr>
                    <w:t xml:space="preserve">1,122.00 </w:t>
                  </w:r>
                </w:p>
              </w:tc>
              <w:tc>
                <w:tcPr>
                  <w:tcW w:w="1869" w:type="dxa"/>
                </w:tcPr>
                <w:p>
                  <w:pPr>
                    <w:ind w:firstLine="360"/>
                    <w:rPr>
                      <w:color w:val="000000" w:themeColor="text1" w:themeShade="BF"/>
                      <w:sz w:val="18"/>
                      <w:szCs w:val="18"/>
                    </w:rPr>
                  </w:pPr>
                  <w:r>
                    <w:rPr>
                      <w:rFonts w:hint="eastAsia"/>
                      <w:color w:val="000000" w:themeColor="text1" w:themeShade="BF"/>
                      <w:sz w:val="18"/>
                      <w:szCs w:val="18"/>
                    </w:rPr>
                    <w:t xml:space="preserve">35.10 </w:t>
                  </w:r>
                </w:p>
              </w:tc>
              <w:tc>
                <w:tcPr>
                  <w:tcW w:w="1638" w:type="dxa"/>
                </w:tcPr>
                <w:p>
                  <w:pPr>
                    <w:ind w:firstLine="360"/>
                    <w:rPr>
                      <w:color w:val="000000" w:themeColor="text1" w:themeShade="BF"/>
                      <w:sz w:val="18"/>
                      <w:szCs w:val="18"/>
                    </w:rPr>
                  </w:pPr>
                  <w:r>
                    <w:rPr>
                      <w:color w:val="000000" w:themeColor="text1" w:themeShade="BF"/>
                      <w:sz w:val="18"/>
                      <w:szCs w:val="18"/>
                    </w:rPr>
                    <w:t xml:space="preserve">114,429.00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Borders>
                    <w:left w:val="nil"/>
                    <w:right w:val="nil"/>
                    <w:insideV w:val="nil"/>
                  </w:tcBorders>
                  <w:shd w:val="clear" w:color="auto" w:fill="BFBFBF" w:themeFill="text1" w:themeFillTint="3F"/>
                </w:tcPr>
                <w:p>
                  <w:pPr>
                    <w:ind w:firstLine="0" w:firstLineChars="0"/>
                    <w:rPr>
                      <w:b/>
                      <w:bCs/>
                      <w:color w:val="000000" w:themeColor="text1" w:themeShade="BF"/>
                      <w:sz w:val="18"/>
                      <w:szCs w:val="18"/>
                    </w:rPr>
                  </w:pPr>
                  <w:r>
                    <w:rPr>
                      <w:rFonts w:hint="eastAsia"/>
                      <w:b/>
                      <w:bCs/>
                      <w:color w:val="000000" w:themeColor="text1" w:themeShade="BF"/>
                      <w:sz w:val="18"/>
                      <w:szCs w:val="18"/>
                    </w:rPr>
                    <w:t>浙江工业大学之江学院</w:t>
                  </w:r>
                </w:p>
              </w:tc>
              <w:tc>
                <w:tcPr>
                  <w:tcW w:w="1737" w:type="dxa"/>
                  <w:tcBorders>
                    <w:right w:val="nil"/>
                    <w:insideV w:val="nil"/>
                  </w:tcBorders>
                  <w:shd w:val="clear" w:color="auto" w:fill="BFBFBF" w:themeFill="text1" w:themeFillTint="3F"/>
                </w:tcPr>
                <w:p>
                  <w:pPr>
                    <w:ind w:firstLine="360"/>
                    <w:rPr>
                      <w:color w:val="000000" w:themeColor="text1" w:themeShade="BF"/>
                      <w:sz w:val="18"/>
                      <w:szCs w:val="18"/>
                    </w:rPr>
                  </w:pPr>
                  <w:r>
                    <w:rPr>
                      <w:rFonts w:hint="eastAsia"/>
                      <w:color w:val="000000" w:themeColor="text1" w:themeShade="BF"/>
                      <w:sz w:val="18"/>
                      <w:szCs w:val="18"/>
                    </w:rPr>
                    <w:t xml:space="preserve">571.00 </w:t>
                  </w:r>
                </w:p>
              </w:tc>
              <w:tc>
                <w:tcPr>
                  <w:tcW w:w="1869" w:type="dxa"/>
                  <w:tcBorders>
                    <w:right w:val="nil"/>
                    <w:insideV w:val="nil"/>
                  </w:tcBorders>
                  <w:shd w:val="clear" w:color="auto" w:fill="BFBFBF" w:themeFill="text1" w:themeFillTint="3F"/>
                </w:tcPr>
                <w:p>
                  <w:pPr>
                    <w:ind w:firstLine="360"/>
                    <w:rPr>
                      <w:color w:val="000000" w:themeColor="text1" w:themeShade="BF"/>
                      <w:sz w:val="18"/>
                      <w:szCs w:val="18"/>
                    </w:rPr>
                  </w:pPr>
                  <w:r>
                    <w:rPr>
                      <w:rFonts w:hint="eastAsia"/>
                      <w:color w:val="000000" w:themeColor="text1" w:themeShade="BF"/>
                      <w:sz w:val="18"/>
                      <w:szCs w:val="18"/>
                    </w:rPr>
                    <w:t xml:space="preserve">36.14 </w:t>
                  </w:r>
                </w:p>
              </w:tc>
              <w:tc>
                <w:tcPr>
                  <w:tcW w:w="1638" w:type="dxa"/>
                  <w:tcBorders>
                    <w:right w:val="nil"/>
                    <w:insideV w:val="nil"/>
                  </w:tcBorders>
                  <w:shd w:val="clear" w:color="auto" w:fill="BFBFBF" w:themeFill="text1" w:themeFillTint="3F"/>
                </w:tcPr>
                <w:p>
                  <w:pPr>
                    <w:ind w:firstLine="360"/>
                    <w:rPr>
                      <w:color w:val="000000" w:themeColor="text1" w:themeShade="BF"/>
                      <w:sz w:val="18"/>
                      <w:szCs w:val="18"/>
                    </w:rPr>
                  </w:pPr>
                  <w:r>
                    <w:rPr>
                      <w:color w:val="000000" w:themeColor="text1" w:themeShade="BF"/>
                      <w:sz w:val="18"/>
                      <w:szCs w:val="18"/>
                    </w:rPr>
                    <w:t xml:space="preserve">59,132.87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Pr>
                <w:p>
                  <w:pPr>
                    <w:ind w:firstLine="0" w:firstLineChars="0"/>
                    <w:rPr>
                      <w:b/>
                      <w:bCs/>
                      <w:color w:val="000000" w:themeColor="text1" w:themeShade="BF"/>
                      <w:sz w:val="18"/>
                      <w:szCs w:val="18"/>
                    </w:rPr>
                  </w:pPr>
                  <w:r>
                    <w:rPr>
                      <w:rFonts w:hint="eastAsia"/>
                      <w:b/>
                      <w:bCs/>
                      <w:color w:val="000000" w:themeColor="text1" w:themeShade="BF"/>
                      <w:sz w:val="18"/>
                      <w:szCs w:val="18"/>
                    </w:rPr>
                    <w:t>杭州电子科技大学信息工程学院</w:t>
                  </w:r>
                </w:p>
              </w:tc>
              <w:tc>
                <w:tcPr>
                  <w:tcW w:w="1737" w:type="dxa"/>
                </w:tcPr>
                <w:p>
                  <w:pPr>
                    <w:ind w:firstLine="360"/>
                    <w:rPr>
                      <w:color w:val="000000" w:themeColor="text1" w:themeShade="BF"/>
                      <w:sz w:val="18"/>
                      <w:szCs w:val="18"/>
                    </w:rPr>
                  </w:pPr>
                  <w:r>
                    <w:rPr>
                      <w:rFonts w:hint="eastAsia"/>
                      <w:color w:val="000000" w:themeColor="text1" w:themeShade="BF"/>
                      <w:sz w:val="18"/>
                      <w:szCs w:val="18"/>
                    </w:rPr>
                    <w:t xml:space="preserve">500.00 </w:t>
                  </w:r>
                </w:p>
              </w:tc>
              <w:tc>
                <w:tcPr>
                  <w:tcW w:w="1869" w:type="dxa"/>
                </w:tcPr>
                <w:p>
                  <w:pPr>
                    <w:ind w:firstLine="360"/>
                    <w:rPr>
                      <w:color w:val="000000" w:themeColor="text1" w:themeShade="BF"/>
                      <w:sz w:val="18"/>
                      <w:szCs w:val="18"/>
                    </w:rPr>
                  </w:pPr>
                  <w:r>
                    <w:rPr>
                      <w:rFonts w:hint="eastAsia"/>
                      <w:color w:val="000000" w:themeColor="text1" w:themeShade="BF"/>
                      <w:sz w:val="18"/>
                      <w:szCs w:val="18"/>
                    </w:rPr>
                    <w:t xml:space="preserve">14.53 </w:t>
                  </w:r>
                </w:p>
              </w:tc>
              <w:tc>
                <w:tcPr>
                  <w:tcW w:w="1638" w:type="dxa"/>
                </w:tcPr>
                <w:p>
                  <w:pPr>
                    <w:ind w:firstLine="360"/>
                    <w:rPr>
                      <w:color w:val="000000" w:themeColor="text1" w:themeShade="BF"/>
                      <w:sz w:val="18"/>
                      <w:szCs w:val="18"/>
                    </w:rPr>
                  </w:pPr>
                  <w:r>
                    <w:rPr>
                      <w:color w:val="000000" w:themeColor="text1" w:themeShade="BF"/>
                      <w:sz w:val="18"/>
                      <w:szCs w:val="18"/>
                    </w:rPr>
                    <w:t xml:space="preserve">9,623.67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Borders>
                    <w:left w:val="nil"/>
                    <w:right w:val="nil"/>
                    <w:insideV w:val="nil"/>
                  </w:tcBorders>
                  <w:shd w:val="clear" w:color="auto" w:fill="BFBFBF" w:themeFill="text1" w:themeFillTint="3F"/>
                </w:tcPr>
                <w:p>
                  <w:pPr>
                    <w:ind w:firstLine="0" w:firstLineChars="0"/>
                    <w:rPr>
                      <w:b/>
                      <w:bCs/>
                      <w:color w:val="000000" w:themeColor="text1" w:themeShade="BF"/>
                      <w:sz w:val="18"/>
                      <w:szCs w:val="18"/>
                    </w:rPr>
                  </w:pPr>
                  <w:r>
                    <w:rPr>
                      <w:rFonts w:hint="eastAsia"/>
                      <w:b/>
                      <w:bCs/>
                      <w:color w:val="000000" w:themeColor="text1" w:themeShade="BF"/>
                      <w:sz w:val="18"/>
                      <w:szCs w:val="18"/>
                    </w:rPr>
                    <w:t>杭州师范大学钱江学院</w:t>
                  </w:r>
                </w:p>
              </w:tc>
              <w:tc>
                <w:tcPr>
                  <w:tcW w:w="1737" w:type="dxa"/>
                  <w:tcBorders>
                    <w:right w:val="nil"/>
                    <w:insideV w:val="nil"/>
                  </w:tcBorders>
                  <w:shd w:val="clear" w:color="auto" w:fill="BFBFBF" w:themeFill="text1" w:themeFillTint="3F"/>
                </w:tcPr>
                <w:p>
                  <w:pPr>
                    <w:ind w:firstLine="360"/>
                    <w:rPr>
                      <w:color w:val="000000" w:themeColor="text1" w:themeShade="BF"/>
                      <w:sz w:val="18"/>
                      <w:szCs w:val="18"/>
                    </w:rPr>
                  </w:pPr>
                  <w:r>
                    <w:rPr>
                      <w:rFonts w:hint="eastAsia"/>
                      <w:color w:val="000000" w:themeColor="text1" w:themeShade="BF"/>
                      <w:sz w:val="18"/>
                      <w:szCs w:val="18"/>
                    </w:rPr>
                    <w:t xml:space="preserve">505.00 </w:t>
                  </w:r>
                </w:p>
              </w:tc>
              <w:tc>
                <w:tcPr>
                  <w:tcW w:w="1869" w:type="dxa"/>
                  <w:tcBorders>
                    <w:right w:val="nil"/>
                    <w:insideV w:val="nil"/>
                  </w:tcBorders>
                  <w:shd w:val="clear" w:color="auto" w:fill="BFBFBF" w:themeFill="text1" w:themeFillTint="3F"/>
                </w:tcPr>
                <w:p>
                  <w:pPr>
                    <w:ind w:firstLine="360"/>
                    <w:rPr>
                      <w:color w:val="000000" w:themeColor="text1" w:themeShade="BF"/>
                      <w:sz w:val="18"/>
                      <w:szCs w:val="18"/>
                    </w:rPr>
                  </w:pPr>
                  <w:r>
                    <w:rPr>
                      <w:rFonts w:hint="eastAsia"/>
                      <w:color w:val="000000" w:themeColor="text1" w:themeShade="BF"/>
                      <w:sz w:val="18"/>
                      <w:szCs w:val="18"/>
                    </w:rPr>
                    <w:t xml:space="preserve">22.28 </w:t>
                  </w:r>
                </w:p>
              </w:tc>
              <w:tc>
                <w:tcPr>
                  <w:tcW w:w="1638" w:type="dxa"/>
                  <w:tcBorders>
                    <w:right w:val="nil"/>
                    <w:insideV w:val="nil"/>
                  </w:tcBorders>
                  <w:shd w:val="clear" w:color="auto" w:fill="BFBFBF" w:themeFill="text1" w:themeFillTint="3F"/>
                </w:tcPr>
                <w:p>
                  <w:pPr>
                    <w:ind w:firstLine="360"/>
                    <w:rPr>
                      <w:color w:val="000000" w:themeColor="text1" w:themeShade="BF"/>
                      <w:sz w:val="18"/>
                      <w:szCs w:val="18"/>
                    </w:rPr>
                  </w:pPr>
                  <w:r>
                    <w:rPr>
                      <w:color w:val="000000" w:themeColor="text1" w:themeShade="BF"/>
                      <w:sz w:val="18"/>
                      <w:szCs w:val="18"/>
                    </w:rPr>
                    <w:t xml:space="preserve">9,146.98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Pr>
                <w:p>
                  <w:pPr>
                    <w:ind w:firstLine="0" w:firstLineChars="0"/>
                    <w:rPr>
                      <w:b/>
                      <w:bCs/>
                      <w:color w:val="000000" w:themeColor="text1" w:themeShade="BF"/>
                      <w:sz w:val="18"/>
                      <w:szCs w:val="18"/>
                    </w:rPr>
                  </w:pPr>
                  <w:r>
                    <w:rPr>
                      <w:rFonts w:hint="eastAsia"/>
                      <w:b/>
                      <w:bCs/>
                      <w:color w:val="000000" w:themeColor="text1" w:themeShade="BF"/>
                      <w:sz w:val="18"/>
                      <w:szCs w:val="18"/>
                    </w:rPr>
                    <w:t>宁波大学科学技术学院</w:t>
                  </w:r>
                </w:p>
              </w:tc>
              <w:tc>
                <w:tcPr>
                  <w:tcW w:w="1737" w:type="dxa"/>
                </w:tcPr>
                <w:p>
                  <w:pPr>
                    <w:ind w:firstLine="360"/>
                    <w:rPr>
                      <w:color w:val="000000" w:themeColor="text1" w:themeShade="BF"/>
                      <w:sz w:val="18"/>
                      <w:szCs w:val="18"/>
                    </w:rPr>
                  </w:pPr>
                  <w:r>
                    <w:rPr>
                      <w:rFonts w:hint="eastAsia"/>
                      <w:color w:val="000000" w:themeColor="text1" w:themeShade="BF"/>
                      <w:sz w:val="18"/>
                      <w:szCs w:val="18"/>
                    </w:rPr>
                    <w:t xml:space="preserve">612.64 </w:t>
                  </w:r>
                </w:p>
              </w:tc>
              <w:tc>
                <w:tcPr>
                  <w:tcW w:w="1869" w:type="dxa"/>
                </w:tcPr>
                <w:p>
                  <w:pPr>
                    <w:ind w:firstLine="360"/>
                    <w:rPr>
                      <w:color w:val="000000" w:themeColor="text1" w:themeShade="BF"/>
                      <w:sz w:val="18"/>
                      <w:szCs w:val="18"/>
                    </w:rPr>
                  </w:pPr>
                  <w:r>
                    <w:rPr>
                      <w:rFonts w:hint="eastAsia"/>
                      <w:color w:val="000000" w:themeColor="text1" w:themeShade="BF"/>
                      <w:sz w:val="18"/>
                      <w:szCs w:val="18"/>
                    </w:rPr>
                    <w:t xml:space="preserve">26.48 </w:t>
                  </w:r>
                </w:p>
              </w:tc>
              <w:tc>
                <w:tcPr>
                  <w:tcW w:w="1638" w:type="dxa"/>
                </w:tcPr>
                <w:p>
                  <w:pPr>
                    <w:ind w:firstLine="360"/>
                    <w:rPr>
                      <w:color w:val="000000" w:themeColor="text1" w:themeShade="BF"/>
                      <w:sz w:val="18"/>
                      <w:szCs w:val="18"/>
                    </w:rPr>
                  </w:pPr>
                  <w:r>
                    <w:rPr>
                      <w:color w:val="000000" w:themeColor="text1" w:themeShade="BF"/>
                      <w:sz w:val="18"/>
                      <w:szCs w:val="18"/>
                    </w:rPr>
                    <w:t xml:space="preserve">11,798.05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Borders>
                    <w:left w:val="nil"/>
                    <w:right w:val="nil"/>
                    <w:insideV w:val="nil"/>
                  </w:tcBorders>
                  <w:shd w:val="clear" w:color="auto" w:fill="BFBFBF" w:themeFill="text1" w:themeFillTint="3F"/>
                </w:tcPr>
                <w:p>
                  <w:pPr>
                    <w:ind w:firstLine="0" w:firstLineChars="0"/>
                    <w:rPr>
                      <w:b/>
                      <w:bCs/>
                      <w:color w:val="000000" w:themeColor="text1" w:themeShade="BF"/>
                      <w:sz w:val="18"/>
                      <w:szCs w:val="18"/>
                    </w:rPr>
                  </w:pPr>
                  <w:r>
                    <w:rPr>
                      <w:rFonts w:hint="eastAsia"/>
                      <w:b/>
                      <w:bCs/>
                      <w:color w:val="000000" w:themeColor="text1" w:themeShade="BF"/>
                      <w:sz w:val="18"/>
                      <w:szCs w:val="18"/>
                    </w:rPr>
                    <w:t>上海财经大学浙江学院</w:t>
                  </w:r>
                </w:p>
              </w:tc>
              <w:tc>
                <w:tcPr>
                  <w:tcW w:w="1737" w:type="dxa"/>
                  <w:tcBorders>
                    <w:right w:val="nil"/>
                    <w:insideV w:val="nil"/>
                  </w:tcBorders>
                  <w:shd w:val="clear" w:color="auto" w:fill="BFBFBF" w:themeFill="text1" w:themeFillTint="3F"/>
                </w:tcPr>
                <w:p>
                  <w:pPr>
                    <w:ind w:firstLine="360"/>
                    <w:rPr>
                      <w:color w:val="000000" w:themeColor="text1" w:themeShade="BF"/>
                      <w:sz w:val="18"/>
                      <w:szCs w:val="18"/>
                    </w:rPr>
                  </w:pPr>
                  <w:r>
                    <w:rPr>
                      <w:rFonts w:hint="eastAsia"/>
                      <w:color w:val="000000" w:themeColor="text1" w:themeShade="BF"/>
                      <w:sz w:val="18"/>
                      <w:szCs w:val="18"/>
                    </w:rPr>
                    <w:t xml:space="preserve">829.63 </w:t>
                  </w:r>
                </w:p>
              </w:tc>
              <w:tc>
                <w:tcPr>
                  <w:tcW w:w="1869" w:type="dxa"/>
                  <w:tcBorders>
                    <w:right w:val="nil"/>
                    <w:insideV w:val="nil"/>
                  </w:tcBorders>
                  <w:shd w:val="clear" w:color="auto" w:fill="BFBFBF" w:themeFill="text1" w:themeFillTint="3F"/>
                </w:tcPr>
                <w:p>
                  <w:pPr>
                    <w:ind w:firstLine="360"/>
                    <w:rPr>
                      <w:color w:val="000000" w:themeColor="text1" w:themeShade="BF"/>
                      <w:sz w:val="18"/>
                      <w:szCs w:val="18"/>
                    </w:rPr>
                  </w:pPr>
                  <w:r>
                    <w:rPr>
                      <w:rFonts w:hint="eastAsia"/>
                      <w:color w:val="000000" w:themeColor="text1" w:themeShade="BF"/>
                      <w:sz w:val="18"/>
                      <w:szCs w:val="18"/>
                    </w:rPr>
                    <w:t xml:space="preserve">21.47 </w:t>
                  </w:r>
                </w:p>
              </w:tc>
              <w:tc>
                <w:tcPr>
                  <w:tcW w:w="1638" w:type="dxa"/>
                  <w:tcBorders>
                    <w:right w:val="nil"/>
                    <w:insideV w:val="nil"/>
                  </w:tcBorders>
                  <w:shd w:val="clear" w:color="auto" w:fill="BFBFBF" w:themeFill="text1" w:themeFillTint="3F"/>
                </w:tcPr>
                <w:p>
                  <w:pPr>
                    <w:ind w:firstLine="360"/>
                    <w:rPr>
                      <w:color w:val="000000" w:themeColor="text1" w:themeShade="BF"/>
                      <w:sz w:val="18"/>
                      <w:szCs w:val="18"/>
                    </w:rPr>
                  </w:pPr>
                  <w:r>
                    <w:rPr>
                      <w:color w:val="000000" w:themeColor="text1" w:themeShade="BF"/>
                      <w:sz w:val="18"/>
                      <w:szCs w:val="18"/>
                    </w:rPr>
                    <w:t xml:space="preserve">71,667.85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Pr>
                <w:p>
                  <w:pPr>
                    <w:ind w:firstLine="0" w:firstLineChars="0"/>
                    <w:rPr>
                      <w:b/>
                      <w:bCs/>
                      <w:color w:val="000000" w:themeColor="text1" w:themeShade="BF"/>
                      <w:sz w:val="18"/>
                      <w:szCs w:val="18"/>
                    </w:rPr>
                  </w:pPr>
                  <w:r>
                    <w:rPr>
                      <w:rFonts w:hint="eastAsia"/>
                      <w:b/>
                      <w:bCs/>
                      <w:color w:val="000000" w:themeColor="text1" w:themeShade="BF"/>
                      <w:sz w:val="18"/>
                      <w:szCs w:val="18"/>
                    </w:rPr>
                    <w:t>绍兴文理学院元培学院</w:t>
                  </w:r>
                </w:p>
              </w:tc>
              <w:tc>
                <w:tcPr>
                  <w:tcW w:w="1737" w:type="dxa"/>
                </w:tcPr>
                <w:p>
                  <w:pPr>
                    <w:ind w:firstLine="360"/>
                    <w:rPr>
                      <w:color w:val="000000" w:themeColor="text1" w:themeShade="BF"/>
                      <w:sz w:val="18"/>
                      <w:szCs w:val="18"/>
                    </w:rPr>
                  </w:pPr>
                  <w:r>
                    <w:rPr>
                      <w:rFonts w:hint="eastAsia"/>
                      <w:color w:val="000000" w:themeColor="text1" w:themeShade="BF"/>
                      <w:sz w:val="18"/>
                      <w:szCs w:val="18"/>
                    </w:rPr>
                    <w:t xml:space="preserve">836.00 </w:t>
                  </w:r>
                </w:p>
              </w:tc>
              <w:tc>
                <w:tcPr>
                  <w:tcW w:w="1869" w:type="dxa"/>
                </w:tcPr>
                <w:p>
                  <w:pPr>
                    <w:ind w:firstLine="360"/>
                    <w:rPr>
                      <w:color w:val="000000" w:themeColor="text1" w:themeShade="BF"/>
                      <w:sz w:val="18"/>
                      <w:szCs w:val="18"/>
                    </w:rPr>
                  </w:pPr>
                  <w:r>
                    <w:rPr>
                      <w:rFonts w:hint="eastAsia"/>
                      <w:color w:val="000000" w:themeColor="text1" w:themeShade="BF"/>
                      <w:sz w:val="18"/>
                      <w:szCs w:val="18"/>
                    </w:rPr>
                    <w:t xml:space="preserve">28.00 </w:t>
                  </w:r>
                </w:p>
              </w:tc>
              <w:tc>
                <w:tcPr>
                  <w:tcW w:w="1638" w:type="dxa"/>
                </w:tcPr>
                <w:p>
                  <w:pPr>
                    <w:ind w:firstLine="360"/>
                    <w:rPr>
                      <w:color w:val="000000" w:themeColor="text1" w:themeShade="BF"/>
                      <w:sz w:val="18"/>
                      <w:szCs w:val="18"/>
                    </w:rPr>
                  </w:pPr>
                  <w:r>
                    <w:rPr>
                      <w:color w:val="000000" w:themeColor="text1" w:themeShade="BF"/>
                      <w:sz w:val="18"/>
                      <w:szCs w:val="18"/>
                    </w:rPr>
                    <w:t xml:space="preserve">15,842.29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Borders>
                    <w:left w:val="nil"/>
                    <w:right w:val="nil"/>
                    <w:insideV w:val="nil"/>
                  </w:tcBorders>
                  <w:shd w:val="clear" w:color="auto" w:fill="BFBFBF" w:themeFill="text1" w:themeFillTint="3F"/>
                </w:tcPr>
                <w:p>
                  <w:pPr>
                    <w:ind w:firstLine="0" w:firstLineChars="0"/>
                    <w:rPr>
                      <w:b/>
                      <w:bCs/>
                      <w:color w:val="000000" w:themeColor="text1" w:themeShade="BF"/>
                      <w:sz w:val="18"/>
                      <w:szCs w:val="18"/>
                    </w:rPr>
                  </w:pPr>
                  <w:r>
                    <w:rPr>
                      <w:rFonts w:hint="eastAsia"/>
                      <w:b/>
                      <w:bCs/>
                      <w:color w:val="000000" w:themeColor="text1" w:themeShade="BF"/>
                      <w:sz w:val="18"/>
                      <w:szCs w:val="18"/>
                    </w:rPr>
                    <w:t>温州大学瓯江学院</w:t>
                  </w:r>
                </w:p>
              </w:tc>
              <w:tc>
                <w:tcPr>
                  <w:tcW w:w="1737" w:type="dxa"/>
                  <w:tcBorders>
                    <w:right w:val="nil"/>
                    <w:insideV w:val="nil"/>
                  </w:tcBorders>
                  <w:shd w:val="clear" w:color="auto" w:fill="BFBFBF" w:themeFill="text1" w:themeFillTint="3F"/>
                </w:tcPr>
                <w:p>
                  <w:pPr>
                    <w:ind w:firstLine="360"/>
                    <w:rPr>
                      <w:color w:val="000000" w:themeColor="text1" w:themeShade="BF"/>
                      <w:sz w:val="18"/>
                      <w:szCs w:val="18"/>
                    </w:rPr>
                  </w:pPr>
                  <w:r>
                    <w:rPr>
                      <w:rFonts w:hint="eastAsia"/>
                      <w:color w:val="000000" w:themeColor="text1" w:themeShade="BF"/>
                      <w:sz w:val="18"/>
                      <w:szCs w:val="18"/>
                    </w:rPr>
                    <w:t xml:space="preserve">623.72 </w:t>
                  </w:r>
                </w:p>
              </w:tc>
              <w:tc>
                <w:tcPr>
                  <w:tcW w:w="1869" w:type="dxa"/>
                  <w:tcBorders>
                    <w:right w:val="nil"/>
                    <w:insideV w:val="nil"/>
                  </w:tcBorders>
                  <w:shd w:val="clear" w:color="auto" w:fill="BFBFBF" w:themeFill="text1" w:themeFillTint="3F"/>
                </w:tcPr>
                <w:p>
                  <w:pPr>
                    <w:ind w:firstLine="360"/>
                    <w:rPr>
                      <w:color w:val="000000" w:themeColor="text1" w:themeShade="BF"/>
                      <w:sz w:val="18"/>
                      <w:szCs w:val="18"/>
                    </w:rPr>
                  </w:pPr>
                  <w:r>
                    <w:rPr>
                      <w:rFonts w:hint="eastAsia"/>
                      <w:color w:val="000000" w:themeColor="text1" w:themeShade="BF"/>
                      <w:sz w:val="18"/>
                      <w:szCs w:val="18"/>
                    </w:rPr>
                    <w:t xml:space="preserve">24.02 </w:t>
                  </w:r>
                </w:p>
              </w:tc>
              <w:tc>
                <w:tcPr>
                  <w:tcW w:w="1638" w:type="dxa"/>
                  <w:tcBorders>
                    <w:right w:val="nil"/>
                    <w:insideV w:val="nil"/>
                  </w:tcBorders>
                  <w:shd w:val="clear" w:color="auto" w:fill="BFBFBF" w:themeFill="text1" w:themeFillTint="3F"/>
                </w:tcPr>
                <w:p>
                  <w:pPr>
                    <w:ind w:firstLine="360"/>
                    <w:rPr>
                      <w:color w:val="000000" w:themeColor="text1" w:themeShade="BF"/>
                      <w:sz w:val="18"/>
                      <w:szCs w:val="18"/>
                    </w:rPr>
                  </w:pPr>
                  <w:r>
                    <w:rPr>
                      <w:color w:val="000000" w:themeColor="text1" w:themeShade="BF"/>
                      <w:sz w:val="18"/>
                      <w:szCs w:val="18"/>
                    </w:rPr>
                    <w:t xml:space="preserve">68,970.64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Pr>
                <w:p>
                  <w:pPr>
                    <w:ind w:firstLine="0" w:firstLineChars="0"/>
                    <w:rPr>
                      <w:b/>
                      <w:bCs/>
                      <w:color w:val="000000" w:themeColor="text1" w:themeShade="BF"/>
                      <w:sz w:val="18"/>
                      <w:szCs w:val="18"/>
                    </w:rPr>
                  </w:pPr>
                  <w:r>
                    <w:rPr>
                      <w:rFonts w:hint="eastAsia"/>
                      <w:b/>
                      <w:bCs/>
                      <w:color w:val="000000" w:themeColor="text1" w:themeShade="BF"/>
                      <w:sz w:val="18"/>
                      <w:szCs w:val="18"/>
                    </w:rPr>
                    <w:t>温州医科大学仁济学院</w:t>
                  </w:r>
                </w:p>
              </w:tc>
              <w:tc>
                <w:tcPr>
                  <w:tcW w:w="1737" w:type="dxa"/>
                </w:tcPr>
                <w:p>
                  <w:pPr>
                    <w:ind w:firstLine="360"/>
                    <w:rPr>
                      <w:color w:val="000000" w:themeColor="text1" w:themeShade="BF"/>
                      <w:sz w:val="18"/>
                      <w:szCs w:val="18"/>
                    </w:rPr>
                  </w:pPr>
                  <w:r>
                    <w:rPr>
                      <w:rFonts w:hint="eastAsia"/>
                      <w:color w:val="000000" w:themeColor="text1" w:themeShade="BF"/>
                      <w:sz w:val="18"/>
                      <w:szCs w:val="18"/>
                    </w:rPr>
                    <w:t xml:space="preserve">266.00 </w:t>
                  </w:r>
                </w:p>
              </w:tc>
              <w:tc>
                <w:tcPr>
                  <w:tcW w:w="1869" w:type="dxa"/>
                </w:tcPr>
                <w:p>
                  <w:pPr>
                    <w:ind w:firstLine="360"/>
                    <w:rPr>
                      <w:color w:val="000000" w:themeColor="text1" w:themeShade="BF"/>
                      <w:sz w:val="18"/>
                      <w:szCs w:val="18"/>
                    </w:rPr>
                  </w:pPr>
                  <w:r>
                    <w:rPr>
                      <w:rFonts w:hint="eastAsia"/>
                      <w:color w:val="000000" w:themeColor="text1" w:themeShade="BF"/>
                      <w:sz w:val="18"/>
                      <w:szCs w:val="18"/>
                    </w:rPr>
                    <w:t xml:space="preserve">21.12 </w:t>
                  </w:r>
                </w:p>
              </w:tc>
              <w:tc>
                <w:tcPr>
                  <w:tcW w:w="1638" w:type="dxa"/>
                </w:tcPr>
                <w:p>
                  <w:pPr>
                    <w:ind w:firstLine="360"/>
                    <w:rPr>
                      <w:color w:val="000000" w:themeColor="text1" w:themeShade="BF"/>
                      <w:sz w:val="18"/>
                      <w:szCs w:val="18"/>
                    </w:rPr>
                  </w:pPr>
                  <w:r>
                    <w:rPr>
                      <w:color w:val="000000" w:themeColor="text1" w:themeShade="BF"/>
                      <w:sz w:val="18"/>
                      <w:szCs w:val="18"/>
                    </w:rPr>
                    <w:t xml:space="preserve">38,512.68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Borders>
                    <w:left w:val="nil"/>
                    <w:right w:val="nil"/>
                    <w:insideV w:val="nil"/>
                  </w:tcBorders>
                  <w:shd w:val="clear" w:color="auto" w:fill="BFBFBF" w:themeFill="text1" w:themeFillTint="3F"/>
                </w:tcPr>
                <w:p>
                  <w:pPr>
                    <w:ind w:firstLine="0" w:firstLineChars="0"/>
                    <w:rPr>
                      <w:b/>
                      <w:bCs/>
                      <w:color w:val="000000" w:themeColor="text1" w:themeShade="BF"/>
                      <w:sz w:val="18"/>
                      <w:szCs w:val="18"/>
                    </w:rPr>
                  </w:pPr>
                  <w:r>
                    <w:rPr>
                      <w:rFonts w:hint="eastAsia"/>
                      <w:b/>
                      <w:bCs/>
                      <w:color w:val="000000" w:themeColor="text1" w:themeShade="BF"/>
                      <w:sz w:val="18"/>
                      <w:szCs w:val="18"/>
                    </w:rPr>
                    <w:t>浙江财经大学东方学院</w:t>
                  </w:r>
                </w:p>
              </w:tc>
              <w:tc>
                <w:tcPr>
                  <w:tcW w:w="1737" w:type="dxa"/>
                  <w:tcBorders>
                    <w:right w:val="nil"/>
                    <w:insideV w:val="nil"/>
                  </w:tcBorders>
                  <w:shd w:val="clear" w:color="auto" w:fill="BFBFBF" w:themeFill="text1" w:themeFillTint="3F"/>
                </w:tcPr>
                <w:p>
                  <w:pPr>
                    <w:ind w:firstLine="360"/>
                    <w:rPr>
                      <w:color w:val="000000" w:themeColor="text1" w:themeShade="BF"/>
                      <w:sz w:val="18"/>
                      <w:szCs w:val="18"/>
                    </w:rPr>
                  </w:pPr>
                  <w:r>
                    <w:rPr>
                      <w:rFonts w:hint="eastAsia"/>
                      <w:color w:val="000000" w:themeColor="text1" w:themeShade="BF"/>
                      <w:sz w:val="18"/>
                      <w:szCs w:val="18"/>
                    </w:rPr>
                    <w:t xml:space="preserve">810.00 </w:t>
                  </w:r>
                </w:p>
              </w:tc>
              <w:tc>
                <w:tcPr>
                  <w:tcW w:w="1869" w:type="dxa"/>
                  <w:tcBorders>
                    <w:right w:val="nil"/>
                    <w:insideV w:val="nil"/>
                  </w:tcBorders>
                  <w:shd w:val="clear" w:color="auto" w:fill="BFBFBF" w:themeFill="text1" w:themeFillTint="3F"/>
                </w:tcPr>
                <w:p>
                  <w:pPr>
                    <w:ind w:firstLine="360"/>
                    <w:rPr>
                      <w:color w:val="000000" w:themeColor="text1" w:themeShade="BF"/>
                      <w:sz w:val="18"/>
                      <w:szCs w:val="18"/>
                    </w:rPr>
                  </w:pPr>
                  <w:r>
                    <w:rPr>
                      <w:rFonts w:hint="eastAsia"/>
                      <w:color w:val="000000" w:themeColor="text1" w:themeShade="BF"/>
                      <w:sz w:val="18"/>
                      <w:szCs w:val="18"/>
                    </w:rPr>
                    <w:t xml:space="preserve">29.96 </w:t>
                  </w:r>
                </w:p>
              </w:tc>
              <w:tc>
                <w:tcPr>
                  <w:tcW w:w="1638"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10,667.14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Pr>
                <w:p>
                  <w:pPr>
                    <w:ind w:firstLine="0" w:firstLineChars="0"/>
                    <w:rPr>
                      <w:b/>
                      <w:bCs/>
                      <w:color w:val="000000" w:themeColor="text1" w:themeShade="BF"/>
                      <w:sz w:val="18"/>
                      <w:szCs w:val="18"/>
                    </w:rPr>
                  </w:pPr>
                  <w:r>
                    <w:rPr>
                      <w:rFonts w:hint="eastAsia"/>
                      <w:b/>
                      <w:bCs/>
                      <w:color w:val="000000" w:themeColor="text1" w:themeShade="BF"/>
                      <w:sz w:val="18"/>
                      <w:szCs w:val="18"/>
                    </w:rPr>
                    <w:t>浙江工商大学杭州商学院</w:t>
                  </w:r>
                </w:p>
              </w:tc>
              <w:tc>
                <w:tcPr>
                  <w:tcW w:w="1737" w:type="dxa"/>
                </w:tcPr>
                <w:p>
                  <w:pPr>
                    <w:ind w:firstLine="360"/>
                    <w:rPr>
                      <w:color w:val="000000" w:themeColor="text1" w:themeShade="BF"/>
                      <w:sz w:val="18"/>
                      <w:szCs w:val="18"/>
                    </w:rPr>
                  </w:pPr>
                  <w:r>
                    <w:rPr>
                      <w:rFonts w:hint="eastAsia"/>
                      <w:color w:val="000000" w:themeColor="text1" w:themeShade="BF"/>
                      <w:sz w:val="18"/>
                      <w:szCs w:val="18"/>
                    </w:rPr>
                    <w:t xml:space="preserve">600.00 </w:t>
                  </w:r>
                </w:p>
              </w:tc>
              <w:tc>
                <w:tcPr>
                  <w:tcW w:w="1869" w:type="dxa"/>
                </w:tcPr>
                <w:p>
                  <w:pPr>
                    <w:ind w:firstLine="360"/>
                    <w:rPr>
                      <w:color w:val="000000" w:themeColor="text1" w:themeShade="BF"/>
                      <w:sz w:val="18"/>
                      <w:szCs w:val="18"/>
                    </w:rPr>
                  </w:pPr>
                  <w:r>
                    <w:rPr>
                      <w:rFonts w:hint="eastAsia"/>
                      <w:color w:val="000000" w:themeColor="text1" w:themeShade="BF"/>
                      <w:sz w:val="18"/>
                      <w:szCs w:val="18"/>
                    </w:rPr>
                    <w:t xml:space="preserve">20.00 </w:t>
                  </w:r>
                </w:p>
              </w:tc>
              <w:tc>
                <w:tcPr>
                  <w:tcW w:w="1638" w:type="dxa"/>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5,449.10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Borders>
                    <w:left w:val="nil"/>
                    <w:right w:val="nil"/>
                    <w:insideV w:val="nil"/>
                  </w:tcBorders>
                  <w:shd w:val="clear" w:color="auto" w:fill="BFBFBF" w:themeFill="text1" w:themeFillTint="3F"/>
                  <w:vAlign w:val="center"/>
                </w:tcPr>
                <w:p>
                  <w:pPr>
                    <w:widowControl/>
                    <w:ind w:firstLine="0" w:firstLineChars="0"/>
                    <w:rPr>
                      <w:b/>
                      <w:bCs/>
                      <w:color w:val="000000" w:themeColor="text1" w:themeShade="BF"/>
                      <w:sz w:val="18"/>
                      <w:szCs w:val="18"/>
                    </w:rPr>
                  </w:pPr>
                  <w:r>
                    <w:rPr>
                      <w:rFonts w:hint="eastAsia"/>
                      <w:b/>
                      <w:bCs/>
                      <w:color w:val="000000" w:themeColor="text1" w:themeShade="BF"/>
                      <w:sz w:val="18"/>
                      <w:szCs w:val="18"/>
                    </w:rPr>
                    <w:t>浙江理工大学科技与艺术学院</w:t>
                  </w:r>
                </w:p>
              </w:tc>
              <w:tc>
                <w:tcPr>
                  <w:tcW w:w="1737" w:type="dxa"/>
                  <w:tcBorders>
                    <w:right w:val="nil"/>
                    <w:insideV w:val="nil"/>
                  </w:tcBorders>
                  <w:shd w:val="clear" w:color="auto" w:fill="BFBFBF" w:themeFill="text1" w:themeFillTint="3F"/>
                  <w:vAlign w:val="center"/>
                </w:tcPr>
                <w:p>
                  <w:pPr>
                    <w:widowControl/>
                    <w:ind w:right="543" w:firstLine="360"/>
                    <w:rPr>
                      <w:color w:val="000000" w:themeColor="text1" w:themeShade="BF"/>
                      <w:sz w:val="18"/>
                      <w:szCs w:val="18"/>
                    </w:rPr>
                  </w:pPr>
                  <w:r>
                    <w:rPr>
                      <w:rFonts w:hint="eastAsia"/>
                      <w:color w:val="000000" w:themeColor="text1" w:themeShade="BF"/>
                      <w:sz w:val="18"/>
                      <w:szCs w:val="18"/>
                    </w:rPr>
                    <w:t xml:space="preserve">550.00 </w:t>
                  </w:r>
                </w:p>
              </w:tc>
              <w:tc>
                <w:tcPr>
                  <w:tcW w:w="1869"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23.53 </w:t>
                  </w:r>
                </w:p>
              </w:tc>
              <w:tc>
                <w:tcPr>
                  <w:tcW w:w="1638"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14,829.00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vAlign w:val="center"/>
                </w:tcPr>
                <w:p>
                  <w:pPr>
                    <w:widowControl/>
                    <w:ind w:firstLine="0" w:firstLineChars="0"/>
                    <w:rPr>
                      <w:b/>
                      <w:bCs/>
                      <w:color w:val="000000" w:themeColor="text1" w:themeShade="BF"/>
                      <w:sz w:val="18"/>
                      <w:szCs w:val="18"/>
                    </w:rPr>
                  </w:pPr>
                  <w:r>
                    <w:rPr>
                      <w:rFonts w:hint="eastAsia"/>
                      <w:b/>
                      <w:bCs/>
                      <w:color w:val="000000" w:themeColor="text1" w:themeShade="BF"/>
                      <w:sz w:val="18"/>
                      <w:szCs w:val="18"/>
                    </w:rPr>
                    <w:t>浙江农林大学暨阳学院</w:t>
                  </w:r>
                </w:p>
              </w:tc>
              <w:tc>
                <w:tcPr>
                  <w:tcW w:w="1737" w:type="dxa"/>
                  <w:vAlign w:val="center"/>
                </w:tcPr>
                <w:p>
                  <w:pPr>
                    <w:widowControl/>
                    <w:ind w:right="543" w:firstLine="360"/>
                    <w:rPr>
                      <w:color w:val="000000" w:themeColor="text1" w:themeShade="BF"/>
                      <w:sz w:val="18"/>
                      <w:szCs w:val="18"/>
                    </w:rPr>
                  </w:pPr>
                  <w:r>
                    <w:rPr>
                      <w:rFonts w:hint="eastAsia"/>
                      <w:color w:val="000000" w:themeColor="text1" w:themeShade="BF"/>
                      <w:sz w:val="18"/>
                      <w:szCs w:val="18"/>
                    </w:rPr>
                    <w:t xml:space="preserve">500.24 </w:t>
                  </w:r>
                </w:p>
              </w:tc>
              <w:tc>
                <w:tcPr>
                  <w:tcW w:w="1869" w:type="dxa"/>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26.70 </w:t>
                  </w:r>
                </w:p>
              </w:tc>
              <w:tc>
                <w:tcPr>
                  <w:tcW w:w="1638" w:type="dxa"/>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131,821.06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Borders>
                    <w:left w:val="nil"/>
                    <w:right w:val="nil"/>
                    <w:insideV w:val="nil"/>
                  </w:tcBorders>
                  <w:shd w:val="clear" w:color="auto" w:fill="BFBFBF" w:themeFill="text1" w:themeFillTint="3F"/>
                  <w:vAlign w:val="center"/>
                </w:tcPr>
                <w:p>
                  <w:pPr>
                    <w:widowControl/>
                    <w:ind w:firstLine="0" w:firstLineChars="0"/>
                    <w:rPr>
                      <w:b/>
                      <w:bCs/>
                      <w:color w:val="000000" w:themeColor="text1" w:themeShade="BF"/>
                      <w:sz w:val="18"/>
                      <w:szCs w:val="18"/>
                    </w:rPr>
                  </w:pPr>
                  <w:r>
                    <w:rPr>
                      <w:rFonts w:hint="eastAsia"/>
                      <w:b/>
                      <w:bCs/>
                      <w:color w:val="000000" w:themeColor="text1" w:themeShade="BF"/>
                      <w:sz w:val="18"/>
                      <w:szCs w:val="18"/>
                    </w:rPr>
                    <w:t>浙江师范大学行知学院</w:t>
                  </w:r>
                </w:p>
              </w:tc>
              <w:tc>
                <w:tcPr>
                  <w:tcW w:w="1737" w:type="dxa"/>
                  <w:tcBorders>
                    <w:right w:val="nil"/>
                    <w:insideV w:val="nil"/>
                  </w:tcBorders>
                  <w:shd w:val="clear" w:color="auto" w:fill="BFBFBF" w:themeFill="text1" w:themeFillTint="3F"/>
                  <w:vAlign w:val="center"/>
                </w:tcPr>
                <w:p>
                  <w:pPr>
                    <w:widowControl/>
                    <w:ind w:right="724" w:firstLine="360"/>
                    <w:rPr>
                      <w:color w:val="000000" w:themeColor="text1" w:themeShade="BF"/>
                      <w:sz w:val="18"/>
                      <w:szCs w:val="18"/>
                    </w:rPr>
                  </w:pPr>
                  <w:r>
                    <w:rPr>
                      <w:rFonts w:hint="eastAsia"/>
                      <w:color w:val="000000" w:themeColor="text1" w:themeShade="BF"/>
                      <w:sz w:val="18"/>
                      <w:szCs w:val="18"/>
                    </w:rPr>
                    <w:t xml:space="preserve">800.00 </w:t>
                  </w:r>
                </w:p>
              </w:tc>
              <w:tc>
                <w:tcPr>
                  <w:tcW w:w="1869"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22.00 </w:t>
                  </w:r>
                </w:p>
              </w:tc>
              <w:tc>
                <w:tcPr>
                  <w:tcW w:w="1638"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5000.00 </w:t>
                  </w:r>
                </w:p>
              </w:tc>
            </w:tr>
          </w:tbl>
          <w:p>
            <w:pPr>
              <w:spacing w:line="400" w:lineRule="exact"/>
              <w:rPr>
                <w:rFonts w:ascii="宋体" w:hAnsi="宋体" w:cs="黑体"/>
                <w:szCs w:val="21"/>
              </w:rPr>
            </w:pPr>
            <w:r>
              <w:rPr>
                <w:rFonts w:hint="eastAsia" w:ascii="宋体" w:hAnsi="宋体" w:cs="黑体"/>
                <w:szCs w:val="21"/>
              </w:rPr>
              <w:t>对独立学院的运营生死攸关，其使用方向主要有支付教职工工资、维持学校办学运营发展、支付银行贷款本息、交纳给母体高校的“管理费”。运行状况本来就不佳的独立学院，将面临更为严峻的生存状态，有的学校很可能因此而陷入财务危机。</w:t>
            </w:r>
          </w:p>
          <w:p>
            <w:pPr>
              <w:spacing w:line="400" w:lineRule="exact"/>
              <w:jc w:val="center"/>
              <w:rPr>
                <w:rFonts w:ascii="宋体" w:hAnsi="宋体" w:cs="黑体"/>
                <w:szCs w:val="21"/>
              </w:rPr>
            </w:pPr>
            <w:r>
              <w:rPr>
                <w:rFonts w:hint="eastAsia" w:ascii="宋体" w:hAnsi="宋体" w:cs="黑体"/>
                <w:szCs w:val="21"/>
              </w:rPr>
              <w:t>浙江省部分独立学院2016年学费收入占比情况表（表二）</w:t>
            </w:r>
          </w:p>
          <w:tbl>
            <w:tblPr>
              <w:tblStyle w:val="20"/>
              <w:tblpPr w:leftFromText="180" w:rightFromText="180" w:vertAnchor="text" w:horzAnchor="margin" w:tblpXSpec="center" w:tblpY="44"/>
              <w:tblOverlap w:val="never"/>
              <w:tblW w:w="8047"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3"/>
              <w:gridCol w:w="1737"/>
              <w:gridCol w:w="1869"/>
              <w:gridCol w:w="1638"/>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PrEx>
              <w:trPr>
                <w:trHeight w:val="866" w:hRule="exact"/>
              </w:trPr>
              <w:tc>
                <w:tcPr>
                  <w:tcW w:w="2803" w:type="dxa"/>
                  <w:tcBorders>
                    <w:top w:val="single" w:color="000000" w:themeColor="text1" w:sz="8" w:space="0"/>
                    <w:left w:val="nil"/>
                    <w:bottom w:val="single" w:color="000000" w:themeColor="text1" w:sz="8" w:space="0"/>
                    <w:right w:val="nil"/>
                    <w:insideH w:val="single" w:sz="8" w:space="0"/>
                    <w:insideV w:val="nil"/>
                  </w:tcBorders>
                  <w:vAlign w:val="center"/>
                </w:tcPr>
                <w:p>
                  <w:pPr>
                    <w:spacing w:before="0" w:after="0"/>
                    <w:ind w:firstLine="625" w:firstLineChars="346"/>
                    <w:rPr>
                      <w:b/>
                      <w:bCs/>
                      <w:color w:val="000000" w:themeColor="text1" w:themeShade="BF"/>
                      <w:sz w:val="18"/>
                      <w:szCs w:val="18"/>
                    </w:rPr>
                  </w:pPr>
                  <w:r>
                    <w:rPr>
                      <w:rFonts w:hint="eastAsia"/>
                      <w:b/>
                      <w:bCs/>
                      <w:color w:val="000000" w:themeColor="text1" w:themeShade="BF"/>
                      <w:sz w:val="18"/>
                      <w:szCs w:val="18"/>
                    </w:rPr>
                    <w:t>学校</w:t>
                  </w:r>
                </w:p>
              </w:tc>
              <w:tc>
                <w:tcPr>
                  <w:tcW w:w="1737" w:type="dxa"/>
                  <w:tcBorders>
                    <w:top w:val="single" w:color="000000" w:themeColor="text1" w:sz="8" w:space="0"/>
                    <w:bottom w:val="single" w:color="000000" w:themeColor="text1" w:sz="8" w:space="0"/>
                    <w:right w:val="nil"/>
                    <w:insideH w:val="single" w:sz="8" w:space="0"/>
                    <w:insideV w:val="nil"/>
                  </w:tcBorders>
                  <w:vAlign w:val="center"/>
                </w:tcPr>
                <w:p>
                  <w:pPr>
                    <w:spacing w:before="0" w:after="0"/>
                    <w:ind w:firstLine="0" w:firstLineChars="0"/>
                    <w:jc w:val="center"/>
                    <w:rPr>
                      <w:b/>
                      <w:bCs/>
                      <w:color w:val="000000" w:themeColor="text1" w:themeShade="BF"/>
                      <w:sz w:val="18"/>
                      <w:szCs w:val="18"/>
                    </w:rPr>
                  </w:pPr>
                  <w:r>
                    <w:rPr>
                      <w:rFonts w:hint="eastAsia"/>
                      <w:b/>
                      <w:bCs/>
                      <w:color w:val="000000" w:themeColor="text1" w:themeShade="BF"/>
                      <w:sz w:val="18"/>
                      <w:szCs w:val="18"/>
                    </w:rPr>
                    <w:t>学费收入总额</w:t>
                  </w:r>
                </w:p>
                <w:p>
                  <w:pPr>
                    <w:spacing w:before="0" w:after="0"/>
                    <w:ind w:firstLine="0" w:firstLineChars="0"/>
                    <w:jc w:val="center"/>
                    <w:rPr>
                      <w:b/>
                      <w:bCs/>
                      <w:color w:val="000000" w:themeColor="text1" w:themeShade="BF"/>
                      <w:sz w:val="18"/>
                      <w:szCs w:val="18"/>
                    </w:rPr>
                  </w:pPr>
                  <w:r>
                    <w:rPr>
                      <w:rFonts w:hint="eastAsia"/>
                      <w:b/>
                      <w:bCs/>
                      <w:color w:val="000000" w:themeColor="text1" w:themeShade="BF"/>
                      <w:sz w:val="18"/>
                      <w:szCs w:val="18"/>
                    </w:rPr>
                    <w:t>（万元）</w:t>
                  </w:r>
                </w:p>
              </w:tc>
              <w:tc>
                <w:tcPr>
                  <w:tcW w:w="1869" w:type="dxa"/>
                  <w:tcBorders>
                    <w:top w:val="single" w:color="000000" w:themeColor="text1" w:sz="8" w:space="0"/>
                    <w:bottom w:val="single" w:color="000000" w:themeColor="text1" w:sz="8" w:space="0"/>
                    <w:right w:val="nil"/>
                    <w:insideH w:val="single" w:sz="8" w:space="0"/>
                    <w:insideV w:val="nil"/>
                  </w:tcBorders>
                </w:tcPr>
                <w:p>
                  <w:pPr>
                    <w:spacing w:before="0" w:after="0"/>
                    <w:ind w:firstLine="0" w:firstLineChars="0"/>
                    <w:jc w:val="center"/>
                    <w:rPr>
                      <w:b/>
                      <w:bCs/>
                      <w:color w:val="000000" w:themeColor="text1" w:themeShade="BF"/>
                      <w:sz w:val="18"/>
                      <w:szCs w:val="18"/>
                    </w:rPr>
                  </w:pPr>
                  <w:r>
                    <w:rPr>
                      <w:rFonts w:hint="eastAsia"/>
                      <w:b/>
                      <w:bCs/>
                      <w:color w:val="000000" w:themeColor="text1" w:themeShade="BF"/>
                      <w:sz w:val="18"/>
                      <w:szCs w:val="18"/>
                    </w:rPr>
                    <w:t>总支出额</w:t>
                  </w:r>
                </w:p>
                <w:p>
                  <w:pPr>
                    <w:spacing w:before="0" w:after="0"/>
                    <w:ind w:firstLine="0" w:firstLineChars="0"/>
                    <w:jc w:val="center"/>
                    <w:rPr>
                      <w:b/>
                      <w:bCs/>
                      <w:color w:val="000000" w:themeColor="text1" w:themeShade="BF"/>
                      <w:sz w:val="18"/>
                      <w:szCs w:val="18"/>
                    </w:rPr>
                  </w:pPr>
                  <w:r>
                    <w:rPr>
                      <w:rFonts w:hint="eastAsia"/>
                      <w:b/>
                      <w:bCs/>
                      <w:color w:val="000000" w:themeColor="text1" w:themeShade="BF"/>
                      <w:sz w:val="18"/>
                      <w:szCs w:val="18"/>
                    </w:rPr>
                    <w:t>(万元)</w:t>
                  </w:r>
                </w:p>
              </w:tc>
              <w:tc>
                <w:tcPr>
                  <w:tcW w:w="1638" w:type="dxa"/>
                  <w:tcBorders>
                    <w:top w:val="single" w:color="000000" w:themeColor="text1" w:sz="8" w:space="0"/>
                    <w:bottom w:val="single" w:color="000000" w:themeColor="text1" w:sz="8" w:space="0"/>
                    <w:right w:val="nil"/>
                    <w:insideH w:val="single" w:sz="8" w:space="0"/>
                    <w:insideV w:val="nil"/>
                  </w:tcBorders>
                </w:tcPr>
                <w:p>
                  <w:pPr>
                    <w:spacing w:before="0" w:after="0"/>
                    <w:ind w:firstLine="0" w:firstLineChars="0"/>
                    <w:jc w:val="center"/>
                    <w:rPr>
                      <w:b/>
                      <w:bCs/>
                      <w:color w:val="000000" w:themeColor="text1" w:themeShade="BF"/>
                      <w:sz w:val="18"/>
                      <w:szCs w:val="18"/>
                    </w:rPr>
                  </w:pPr>
                  <w:r>
                    <w:rPr>
                      <w:rFonts w:hint="eastAsia"/>
                      <w:b/>
                      <w:bCs/>
                      <w:color w:val="000000" w:themeColor="text1" w:themeShade="BF"/>
                      <w:sz w:val="18"/>
                      <w:szCs w:val="18"/>
                    </w:rPr>
                    <w:t>学费收入占总支出百分比（％）</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Borders>
                    <w:left w:val="nil"/>
                    <w:right w:val="nil"/>
                    <w:insideV w:val="nil"/>
                  </w:tcBorders>
                  <w:shd w:val="clear" w:color="auto" w:fill="BFBFBF" w:themeFill="text1" w:themeFillTint="3F"/>
                </w:tcPr>
                <w:p>
                  <w:pPr>
                    <w:ind w:firstLine="361"/>
                    <w:rPr>
                      <w:b/>
                      <w:bCs/>
                      <w:color w:val="000000" w:themeColor="text1" w:themeShade="BF"/>
                      <w:sz w:val="18"/>
                      <w:szCs w:val="18"/>
                    </w:rPr>
                  </w:pPr>
                  <w:r>
                    <w:rPr>
                      <w:rFonts w:hint="eastAsia"/>
                      <w:b/>
                      <w:bCs/>
                      <w:color w:val="000000" w:themeColor="text1" w:themeShade="BF"/>
                      <w:sz w:val="18"/>
                      <w:szCs w:val="18"/>
                    </w:rPr>
                    <w:t>浙江大学城市学院</w:t>
                  </w:r>
                </w:p>
              </w:tc>
              <w:tc>
                <w:tcPr>
                  <w:tcW w:w="1737"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25,018.07 </w:t>
                  </w:r>
                </w:p>
              </w:tc>
              <w:tc>
                <w:tcPr>
                  <w:tcW w:w="1869"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43,138.28 </w:t>
                  </w:r>
                </w:p>
              </w:tc>
              <w:tc>
                <w:tcPr>
                  <w:tcW w:w="1638" w:type="dxa"/>
                  <w:tcBorders>
                    <w:right w:val="nil"/>
                    <w:insideV w:val="nil"/>
                  </w:tcBorders>
                  <w:shd w:val="clear" w:color="auto" w:fill="BFBFBF" w:themeFill="text1" w:themeFillTint="3F"/>
                  <w:vAlign w:val="center"/>
                </w:tcPr>
                <w:p>
                  <w:pPr>
                    <w:ind w:firstLine="440"/>
                    <w:rPr>
                      <w:rFonts w:ascii="宋体" w:hAnsi="宋体" w:cs="宋体"/>
                      <w:color w:val="000000"/>
                      <w:sz w:val="22"/>
                      <w:szCs w:val="22"/>
                    </w:rPr>
                  </w:pPr>
                  <w:r>
                    <w:rPr>
                      <w:rFonts w:hint="eastAsia"/>
                      <w:color w:val="000000"/>
                      <w:sz w:val="22"/>
                      <w:szCs w:val="22"/>
                    </w:rPr>
                    <w:t>58.00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Pr>
                <w:p>
                  <w:pPr>
                    <w:ind w:firstLine="361"/>
                    <w:rPr>
                      <w:b/>
                      <w:bCs/>
                      <w:color w:val="000000" w:themeColor="text1" w:themeShade="BF"/>
                      <w:sz w:val="18"/>
                      <w:szCs w:val="18"/>
                    </w:rPr>
                  </w:pPr>
                  <w:r>
                    <w:rPr>
                      <w:rFonts w:hint="eastAsia"/>
                      <w:b/>
                      <w:bCs/>
                      <w:color w:val="000000" w:themeColor="text1" w:themeShade="BF"/>
                      <w:sz w:val="18"/>
                      <w:szCs w:val="18"/>
                    </w:rPr>
                    <w:t>浙江大学宁波理工学院</w:t>
                  </w:r>
                </w:p>
              </w:tc>
              <w:tc>
                <w:tcPr>
                  <w:tcW w:w="1737" w:type="dxa"/>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24,000.00 </w:t>
                  </w:r>
                </w:p>
              </w:tc>
              <w:tc>
                <w:tcPr>
                  <w:tcW w:w="1869" w:type="dxa"/>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40,041.00 </w:t>
                  </w:r>
                </w:p>
              </w:tc>
              <w:tc>
                <w:tcPr>
                  <w:tcW w:w="1638" w:type="dxa"/>
                  <w:vAlign w:val="center"/>
                </w:tcPr>
                <w:p>
                  <w:pPr>
                    <w:ind w:firstLine="440"/>
                    <w:rPr>
                      <w:rFonts w:ascii="宋体" w:hAnsi="宋体" w:cs="宋体"/>
                      <w:color w:val="000000"/>
                      <w:sz w:val="22"/>
                      <w:szCs w:val="22"/>
                    </w:rPr>
                  </w:pPr>
                  <w:r>
                    <w:rPr>
                      <w:rFonts w:hint="eastAsia"/>
                      <w:color w:val="000000"/>
                      <w:sz w:val="22"/>
                      <w:szCs w:val="22"/>
                    </w:rPr>
                    <w:t>59.94</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Borders>
                    <w:left w:val="nil"/>
                    <w:right w:val="nil"/>
                    <w:insideV w:val="nil"/>
                  </w:tcBorders>
                  <w:shd w:val="clear" w:color="auto" w:fill="BFBFBF" w:themeFill="text1" w:themeFillTint="3F"/>
                </w:tcPr>
                <w:p>
                  <w:pPr>
                    <w:ind w:firstLine="361"/>
                    <w:rPr>
                      <w:b/>
                      <w:bCs/>
                      <w:color w:val="000000" w:themeColor="text1" w:themeShade="BF"/>
                      <w:sz w:val="18"/>
                      <w:szCs w:val="18"/>
                    </w:rPr>
                  </w:pPr>
                  <w:r>
                    <w:rPr>
                      <w:rFonts w:hint="eastAsia"/>
                      <w:b/>
                      <w:bCs/>
                      <w:color w:val="000000" w:themeColor="text1" w:themeShade="BF"/>
                      <w:sz w:val="18"/>
                      <w:szCs w:val="18"/>
                    </w:rPr>
                    <w:t>浙江工业大学之江学院</w:t>
                  </w:r>
                </w:p>
              </w:tc>
              <w:tc>
                <w:tcPr>
                  <w:tcW w:w="1737"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14,364.86 </w:t>
                  </w:r>
                </w:p>
              </w:tc>
              <w:tc>
                <w:tcPr>
                  <w:tcW w:w="1869"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23,214.45 </w:t>
                  </w:r>
                </w:p>
              </w:tc>
              <w:tc>
                <w:tcPr>
                  <w:tcW w:w="1638" w:type="dxa"/>
                  <w:tcBorders>
                    <w:right w:val="nil"/>
                    <w:insideV w:val="nil"/>
                  </w:tcBorders>
                  <w:shd w:val="clear" w:color="auto" w:fill="BFBFBF" w:themeFill="text1" w:themeFillTint="3F"/>
                  <w:vAlign w:val="center"/>
                </w:tcPr>
                <w:p>
                  <w:pPr>
                    <w:ind w:firstLine="440"/>
                    <w:rPr>
                      <w:rFonts w:ascii="宋体" w:hAnsi="宋体" w:cs="宋体"/>
                      <w:color w:val="000000"/>
                      <w:sz w:val="22"/>
                      <w:szCs w:val="22"/>
                    </w:rPr>
                  </w:pPr>
                  <w:r>
                    <w:rPr>
                      <w:rFonts w:hint="eastAsia"/>
                      <w:color w:val="000000"/>
                      <w:sz w:val="22"/>
                      <w:szCs w:val="22"/>
                    </w:rPr>
                    <w:t>61.88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Pr>
                <w:p>
                  <w:pPr>
                    <w:ind w:firstLine="361"/>
                    <w:rPr>
                      <w:b/>
                      <w:bCs/>
                      <w:color w:val="000000" w:themeColor="text1" w:themeShade="BF"/>
                      <w:sz w:val="18"/>
                      <w:szCs w:val="18"/>
                    </w:rPr>
                  </w:pPr>
                  <w:r>
                    <w:rPr>
                      <w:rFonts w:hint="eastAsia"/>
                      <w:b/>
                      <w:bCs/>
                      <w:color w:val="000000" w:themeColor="text1" w:themeShade="BF"/>
                      <w:sz w:val="18"/>
                      <w:szCs w:val="18"/>
                    </w:rPr>
                    <w:t>杭州电子科技大学信息工程学院</w:t>
                  </w:r>
                </w:p>
              </w:tc>
              <w:tc>
                <w:tcPr>
                  <w:tcW w:w="1737" w:type="dxa"/>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15,647.74 </w:t>
                  </w:r>
                </w:p>
              </w:tc>
              <w:tc>
                <w:tcPr>
                  <w:tcW w:w="1869" w:type="dxa"/>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33,276.92 </w:t>
                  </w:r>
                </w:p>
              </w:tc>
              <w:tc>
                <w:tcPr>
                  <w:tcW w:w="1638" w:type="dxa"/>
                  <w:vAlign w:val="center"/>
                </w:tcPr>
                <w:p>
                  <w:pPr>
                    <w:ind w:firstLine="440"/>
                    <w:rPr>
                      <w:rFonts w:ascii="宋体" w:hAnsi="宋体" w:cs="宋体"/>
                      <w:color w:val="000000"/>
                      <w:sz w:val="22"/>
                      <w:szCs w:val="22"/>
                    </w:rPr>
                  </w:pPr>
                  <w:r>
                    <w:rPr>
                      <w:rFonts w:hint="eastAsia"/>
                      <w:color w:val="000000"/>
                      <w:sz w:val="22"/>
                      <w:szCs w:val="22"/>
                    </w:rPr>
                    <w:t>47.02</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Borders>
                    <w:left w:val="nil"/>
                    <w:right w:val="nil"/>
                    <w:insideV w:val="nil"/>
                  </w:tcBorders>
                  <w:shd w:val="clear" w:color="auto" w:fill="BFBFBF" w:themeFill="text1" w:themeFillTint="3F"/>
                </w:tcPr>
                <w:p>
                  <w:pPr>
                    <w:ind w:firstLine="361"/>
                    <w:rPr>
                      <w:b/>
                      <w:bCs/>
                      <w:color w:val="000000" w:themeColor="text1" w:themeShade="BF"/>
                      <w:sz w:val="18"/>
                      <w:szCs w:val="18"/>
                    </w:rPr>
                  </w:pPr>
                  <w:r>
                    <w:rPr>
                      <w:rFonts w:hint="eastAsia"/>
                      <w:b/>
                      <w:bCs/>
                      <w:color w:val="000000" w:themeColor="text1" w:themeShade="BF"/>
                      <w:sz w:val="18"/>
                      <w:szCs w:val="18"/>
                    </w:rPr>
                    <w:t>杭州师范大学钱江学院</w:t>
                  </w:r>
                </w:p>
              </w:tc>
              <w:tc>
                <w:tcPr>
                  <w:tcW w:w="1737"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16,326.04 </w:t>
                  </w:r>
                </w:p>
              </w:tc>
              <w:tc>
                <w:tcPr>
                  <w:tcW w:w="1869"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16,789.53 </w:t>
                  </w:r>
                </w:p>
              </w:tc>
              <w:tc>
                <w:tcPr>
                  <w:tcW w:w="1638" w:type="dxa"/>
                  <w:tcBorders>
                    <w:right w:val="nil"/>
                    <w:insideV w:val="nil"/>
                  </w:tcBorders>
                  <w:shd w:val="clear" w:color="auto" w:fill="BFBFBF" w:themeFill="text1" w:themeFillTint="3F"/>
                  <w:vAlign w:val="center"/>
                </w:tcPr>
                <w:p>
                  <w:pPr>
                    <w:ind w:firstLine="440"/>
                    <w:rPr>
                      <w:rFonts w:ascii="宋体" w:hAnsi="宋体" w:cs="宋体"/>
                      <w:color w:val="000000"/>
                      <w:sz w:val="22"/>
                      <w:szCs w:val="22"/>
                    </w:rPr>
                  </w:pPr>
                  <w:r>
                    <w:rPr>
                      <w:rFonts w:hint="eastAsia"/>
                      <w:color w:val="000000"/>
                      <w:sz w:val="22"/>
                      <w:szCs w:val="22"/>
                    </w:rPr>
                    <w:t>97.24</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Pr>
                <w:p>
                  <w:pPr>
                    <w:ind w:firstLine="361"/>
                    <w:rPr>
                      <w:b/>
                      <w:bCs/>
                      <w:color w:val="000000" w:themeColor="text1" w:themeShade="BF"/>
                      <w:sz w:val="18"/>
                      <w:szCs w:val="18"/>
                    </w:rPr>
                  </w:pPr>
                  <w:r>
                    <w:rPr>
                      <w:rFonts w:hint="eastAsia"/>
                      <w:b/>
                      <w:bCs/>
                      <w:color w:val="000000" w:themeColor="text1" w:themeShade="BF"/>
                      <w:sz w:val="18"/>
                      <w:szCs w:val="18"/>
                    </w:rPr>
                    <w:t>宁波大学科学技术学院</w:t>
                  </w:r>
                </w:p>
              </w:tc>
              <w:tc>
                <w:tcPr>
                  <w:tcW w:w="1737" w:type="dxa"/>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19,950.00 </w:t>
                  </w:r>
                </w:p>
              </w:tc>
              <w:tc>
                <w:tcPr>
                  <w:tcW w:w="1869" w:type="dxa"/>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23,110.25 </w:t>
                  </w:r>
                </w:p>
              </w:tc>
              <w:tc>
                <w:tcPr>
                  <w:tcW w:w="1638" w:type="dxa"/>
                  <w:vAlign w:val="center"/>
                </w:tcPr>
                <w:p>
                  <w:pPr>
                    <w:ind w:firstLine="440"/>
                    <w:rPr>
                      <w:rFonts w:ascii="宋体" w:hAnsi="宋体" w:cs="宋体"/>
                      <w:color w:val="000000"/>
                      <w:sz w:val="22"/>
                      <w:szCs w:val="22"/>
                    </w:rPr>
                  </w:pPr>
                  <w:r>
                    <w:rPr>
                      <w:rFonts w:hint="eastAsia"/>
                      <w:color w:val="000000"/>
                      <w:sz w:val="22"/>
                      <w:szCs w:val="22"/>
                    </w:rPr>
                    <w:t>86.33</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Borders>
                    <w:left w:val="nil"/>
                    <w:right w:val="nil"/>
                    <w:insideV w:val="nil"/>
                  </w:tcBorders>
                  <w:shd w:val="clear" w:color="auto" w:fill="BFBFBF" w:themeFill="text1" w:themeFillTint="3F"/>
                </w:tcPr>
                <w:p>
                  <w:pPr>
                    <w:ind w:firstLine="361"/>
                    <w:rPr>
                      <w:b/>
                      <w:bCs/>
                      <w:color w:val="000000" w:themeColor="text1" w:themeShade="BF"/>
                      <w:sz w:val="18"/>
                      <w:szCs w:val="18"/>
                    </w:rPr>
                  </w:pPr>
                  <w:r>
                    <w:rPr>
                      <w:rFonts w:hint="eastAsia"/>
                      <w:b/>
                      <w:bCs/>
                      <w:color w:val="000000" w:themeColor="text1" w:themeShade="BF"/>
                      <w:sz w:val="18"/>
                      <w:szCs w:val="18"/>
                    </w:rPr>
                    <w:t>上海财经大学浙江学院</w:t>
                  </w:r>
                </w:p>
              </w:tc>
              <w:tc>
                <w:tcPr>
                  <w:tcW w:w="1737"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10,853.56 </w:t>
                  </w:r>
                </w:p>
              </w:tc>
              <w:tc>
                <w:tcPr>
                  <w:tcW w:w="1869"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9,686.35 </w:t>
                  </w:r>
                </w:p>
              </w:tc>
              <w:tc>
                <w:tcPr>
                  <w:tcW w:w="1638" w:type="dxa"/>
                  <w:tcBorders>
                    <w:right w:val="nil"/>
                    <w:insideV w:val="nil"/>
                  </w:tcBorders>
                  <w:shd w:val="clear" w:color="auto" w:fill="BFBFBF" w:themeFill="text1" w:themeFillTint="3F"/>
                  <w:vAlign w:val="center"/>
                </w:tcPr>
                <w:p>
                  <w:pPr>
                    <w:ind w:firstLine="440"/>
                    <w:rPr>
                      <w:rFonts w:ascii="宋体" w:hAnsi="宋体" w:cs="宋体"/>
                      <w:color w:val="000000"/>
                      <w:sz w:val="22"/>
                      <w:szCs w:val="22"/>
                    </w:rPr>
                  </w:pPr>
                  <w:r>
                    <w:rPr>
                      <w:rFonts w:hint="eastAsia"/>
                      <w:color w:val="000000"/>
                      <w:sz w:val="22"/>
                      <w:szCs w:val="22"/>
                    </w:rPr>
                    <w:t>112.05</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Pr>
                <w:p>
                  <w:pPr>
                    <w:ind w:firstLine="361"/>
                    <w:rPr>
                      <w:b/>
                      <w:bCs/>
                      <w:color w:val="000000" w:themeColor="text1" w:themeShade="BF"/>
                      <w:sz w:val="18"/>
                      <w:szCs w:val="18"/>
                    </w:rPr>
                  </w:pPr>
                  <w:r>
                    <w:rPr>
                      <w:rFonts w:hint="eastAsia"/>
                      <w:b/>
                      <w:bCs/>
                      <w:color w:val="000000" w:themeColor="text1" w:themeShade="BF"/>
                      <w:sz w:val="18"/>
                      <w:szCs w:val="18"/>
                    </w:rPr>
                    <w:t>绍兴文理学院元培学院</w:t>
                  </w:r>
                </w:p>
              </w:tc>
              <w:tc>
                <w:tcPr>
                  <w:tcW w:w="1737" w:type="dxa"/>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15,287.00 </w:t>
                  </w:r>
                </w:p>
              </w:tc>
              <w:tc>
                <w:tcPr>
                  <w:tcW w:w="1869" w:type="dxa"/>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18,534.00 </w:t>
                  </w:r>
                </w:p>
              </w:tc>
              <w:tc>
                <w:tcPr>
                  <w:tcW w:w="1638" w:type="dxa"/>
                  <w:vAlign w:val="center"/>
                </w:tcPr>
                <w:p>
                  <w:pPr>
                    <w:ind w:firstLine="440"/>
                    <w:rPr>
                      <w:rFonts w:ascii="宋体" w:hAnsi="宋体" w:cs="宋体"/>
                      <w:color w:val="000000"/>
                      <w:sz w:val="22"/>
                      <w:szCs w:val="22"/>
                    </w:rPr>
                  </w:pPr>
                  <w:r>
                    <w:rPr>
                      <w:rFonts w:hint="eastAsia"/>
                      <w:color w:val="000000"/>
                      <w:sz w:val="22"/>
                      <w:szCs w:val="22"/>
                    </w:rPr>
                    <w:t>82.48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Borders>
                    <w:left w:val="nil"/>
                    <w:right w:val="nil"/>
                    <w:insideV w:val="nil"/>
                  </w:tcBorders>
                  <w:shd w:val="clear" w:color="auto" w:fill="BFBFBF" w:themeFill="text1" w:themeFillTint="3F"/>
                </w:tcPr>
                <w:p>
                  <w:pPr>
                    <w:ind w:firstLine="361"/>
                    <w:rPr>
                      <w:b/>
                      <w:bCs/>
                      <w:color w:val="000000" w:themeColor="text1" w:themeShade="BF"/>
                      <w:sz w:val="18"/>
                      <w:szCs w:val="18"/>
                    </w:rPr>
                  </w:pPr>
                  <w:r>
                    <w:rPr>
                      <w:rFonts w:hint="eastAsia"/>
                      <w:b/>
                      <w:bCs/>
                      <w:color w:val="000000" w:themeColor="text1" w:themeShade="BF"/>
                      <w:sz w:val="18"/>
                      <w:szCs w:val="18"/>
                    </w:rPr>
                    <w:t>温州大学瓯江学院</w:t>
                  </w:r>
                </w:p>
              </w:tc>
              <w:tc>
                <w:tcPr>
                  <w:tcW w:w="1737"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12,893.42 </w:t>
                  </w:r>
                </w:p>
              </w:tc>
              <w:tc>
                <w:tcPr>
                  <w:tcW w:w="1869"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17,677.08 </w:t>
                  </w:r>
                </w:p>
              </w:tc>
              <w:tc>
                <w:tcPr>
                  <w:tcW w:w="1638" w:type="dxa"/>
                  <w:tcBorders>
                    <w:right w:val="nil"/>
                    <w:insideV w:val="nil"/>
                  </w:tcBorders>
                  <w:shd w:val="clear" w:color="auto" w:fill="BFBFBF" w:themeFill="text1" w:themeFillTint="3F"/>
                  <w:vAlign w:val="center"/>
                </w:tcPr>
                <w:p>
                  <w:pPr>
                    <w:ind w:firstLine="440"/>
                    <w:rPr>
                      <w:rFonts w:ascii="宋体" w:hAnsi="宋体" w:cs="宋体"/>
                      <w:color w:val="000000"/>
                      <w:sz w:val="22"/>
                      <w:szCs w:val="22"/>
                    </w:rPr>
                  </w:pPr>
                  <w:r>
                    <w:rPr>
                      <w:rFonts w:hint="eastAsia"/>
                      <w:color w:val="000000"/>
                      <w:sz w:val="22"/>
                      <w:szCs w:val="22"/>
                    </w:rPr>
                    <w:t>72.94</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Pr>
                <w:p>
                  <w:pPr>
                    <w:ind w:firstLine="361"/>
                    <w:rPr>
                      <w:b/>
                      <w:bCs/>
                      <w:color w:val="000000" w:themeColor="text1" w:themeShade="BF"/>
                      <w:sz w:val="18"/>
                      <w:szCs w:val="18"/>
                    </w:rPr>
                  </w:pPr>
                  <w:r>
                    <w:rPr>
                      <w:rFonts w:hint="eastAsia"/>
                      <w:b/>
                      <w:bCs/>
                      <w:color w:val="000000" w:themeColor="text1" w:themeShade="BF"/>
                      <w:sz w:val="18"/>
                      <w:szCs w:val="18"/>
                    </w:rPr>
                    <w:t>温州医科大学仁济学院</w:t>
                  </w:r>
                </w:p>
              </w:tc>
              <w:tc>
                <w:tcPr>
                  <w:tcW w:w="1737" w:type="dxa"/>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14,683.45 </w:t>
                  </w:r>
                </w:p>
              </w:tc>
              <w:tc>
                <w:tcPr>
                  <w:tcW w:w="1869" w:type="dxa"/>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14,867.82 </w:t>
                  </w:r>
                </w:p>
              </w:tc>
              <w:tc>
                <w:tcPr>
                  <w:tcW w:w="1638" w:type="dxa"/>
                  <w:vAlign w:val="center"/>
                </w:tcPr>
                <w:p>
                  <w:pPr>
                    <w:ind w:firstLine="440"/>
                    <w:rPr>
                      <w:rFonts w:ascii="宋体" w:hAnsi="宋体" w:cs="宋体"/>
                      <w:color w:val="000000"/>
                      <w:sz w:val="22"/>
                      <w:szCs w:val="22"/>
                    </w:rPr>
                  </w:pPr>
                  <w:r>
                    <w:rPr>
                      <w:rFonts w:hint="eastAsia"/>
                      <w:color w:val="000000"/>
                      <w:sz w:val="22"/>
                      <w:szCs w:val="22"/>
                    </w:rPr>
                    <w:t>98.76</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Borders>
                    <w:left w:val="nil"/>
                    <w:right w:val="nil"/>
                    <w:insideV w:val="nil"/>
                  </w:tcBorders>
                  <w:shd w:val="clear" w:color="auto" w:fill="BFBFBF" w:themeFill="text1" w:themeFillTint="3F"/>
                </w:tcPr>
                <w:p>
                  <w:pPr>
                    <w:ind w:firstLine="361"/>
                    <w:rPr>
                      <w:b/>
                      <w:bCs/>
                      <w:color w:val="000000" w:themeColor="text1" w:themeShade="BF"/>
                      <w:sz w:val="18"/>
                      <w:szCs w:val="18"/>
                    </w:rPr>
                  </w:pPr>
                  <w:r>
                    <w:rPr>
                      <w:rFonts w:hint="eastAsia"/>
                      <w:b/>
                      <w:bCs/>
                      <w:color w:val="000000" w:themeColor="text1" w:themeShade="BF"/>
                      <w:sz w:val="18"/>
                      <w:szCs w:val="18"/>
                    </w:rPr>
                    <w:t>浙江财经大学东方学院</w:t>
                  </w:r>
                </w:p>
              </w:tc>
              <w:tc>
                <w:tcPr>
                  <w:tcW w:w="1737"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17,842.32 </w:t>
                  </w:r>
                </w:p>
              </w:tc>
              <w:tc>
                <w:tcPr>
                  <w:tcW w:w="1869"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25,397.11 </w:t>
                  </w:r>
                </w:p>
              </w:tc>
              <w:tc>
                <w:tcPr>
                  <w:tcW w:w="1638" w:type="dxa"/>
                  <w:tcBorders>
                    <w:right w:val="nil"/>
                    <w:insideV w:val="nil"/>
                  </w:tcBorders>
                  <w:shd w:val="clear" w:color="auto" w:fill="BFBFBF" w:themeFill="text1" w:themeFillTint="3F"/>
                  <w:vAlign w:val="center"/>
                </w:tcPr>
                <w:p>
                  <w:pPr>
                    <w:ind w:firstLine="440"/>
                    <w:rPr>
                      <w:rFonts w:ascii="宋体" w:hAnsi="宋体" w:cs="宋体"/>
                      <w:color w:val="000000"/>
                      <w:sz w:val="22"/>
                      <w:szCs w:val="22"/>
                    </w:rPr>
                  </w:pPr>
                  <w:r>
                    <w:rPr>
                      <w:rFonts w:hint="eastAsia"/>
                      <w:color w:val="000000"/>
                      <w:sz w:val="22"/>
                      <w:szCs w:val="22"/>
                    </w:rPr>
                    <w:t>70.25</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Pr>
                <w:p>
                  <w:pPr>
                    <w:ind w:firstLine="361"/>
                    <w:rPr>
                      <w:b/>
                      <w:bCs/>
                      <w:color w:val="000000" w:themeColor="text1" w:themeShade="BF"/>
                      <w:sz w:val="18"/>
                      <w:szCs w:val="18"/>
                    </w:rPr>
                  </w:pPr>
                  <w:r>
                    <w:rPr>
                      <w:rFonts w:hint="eastAsia"/>
                      <w:b/>
                      <w:bCs/>
                      <w:color w:val="000000" w:themeColor="text1" w:themeShade="BF"/>
                      <w:sz w:val="18"/>
                      <w:szCs w:val="18"/>
                    </w:rPr>
                    <w:t>浙江工商大学杭州商学院</w:t>
                  </w:r>
                </w:p>
              </w:tc>
              <w:tc>
                <w:tcPr>
                  <w:tcW w:w="1737" w:type="dxa"/>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10,884.37 </w:t>
                  </w:r>
                </w:p>
              </w:tc>
              <w:tc>
                <w:tcPr>
                  <w:tcW w:w="1869" w:type="dxa"/>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22,953.24 </w:t>
                  </w:r>
                </w:p>
              </w:tc>
              <w:tc>
                <w:tcPr>
                  <w:tcW w:w="1638" w:type="dxa"/>
                  <w:vAlign w:val="center"/>
                </w:tcPr>
                <w:p>
                  <w:pPr>
                    <w:ind w:firstLine="440"/>
                    <w:rPr>
                      <w:rFonts w:ascii="宋体" w:hAnsi="宋体" w:cs="宋体"/>
                      <w:color w:val="000000"/>
                      <w:sz w:val="22"/>
                      <w:szCs w:val="22"/>
                    </w:rPr>
                  </w:pPr>
                  <w:r>
                    <w:rPr>
                      <w:rFonts w:hint="eastAsia"/>
                      <w:color w:val="000000"/>
                      <w:sz w:val="22"/>
                      <w:szCs w:val="22"/>
                    </w:rPr>
                    <w:t>47.42</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Borders>
                    <w:left w:val="nil"/>
                    <w:right w:val="nil"/>
                    <w:insideV w:val="nil"/>
                  </w:tcBorders>
                  <w:shd w:val="clear" w:color="auto" w:fill="BFBFBF" w:themeFill="text1" w:themeFillTint="3F"/>
                  <w:vAlign w:val="center"/>
                </w:tcPr>
                <w:p>
                  <w:pPr>
                    <w:ind w:firstLine="361"/>
                    <w:rPr>
                      <w:b/>
                      <w:bCs/>
                      <w:color w:val="000000" w:themeColor="text1" w:themeShade="BF"/>
                      <w:sz w:val="18"/>
                      <w:szCs w:val="18"/>
                    </w:rPr>
                  </w:pPr>
                  <w:r>
                    <w:rPr>
                      <w:rFonts w:hint="eastAsia"/>
                      <w:b/>
                      <w:bCs/>
                      <w:color w:val="000000" w:themeColor="text1" w:themeShade="BF"/>
                      <w:sz w:val="18"/>
                      <w:szCs w:val="18"/>
                    </w:rPr>
                    <w:t>浙江理工大学科技与艺术学院</w:t>
                  </w:r>
                </w:p>
              </w:tc>
              <w:tc>
                <w:tcPr>
                  <w:tcW w:w="1737" w:type="dxa"/>
                  <w:tcBorders>
                    <w:right w:val="nil"/>
                    <w:insideV w:val="nil"/>
                  </w:tcBorders>
                  <w:shd w:val="clear" w:color="auto" w:fill="BFBFBF" w:themeFill="text1" w:themeFillTint="3F"/>
                  <w:vAlign w:val="center"/>
                </w:tcPr>
                <w:p>
                  <w:pPr>
                    <w:ind w:firstLine="360"/>
                    <w:rPr>
                      <w:color w:val="000000" w:themeColor="text1" w:themeShade="BF"/>
                      <w:sz w:val="18"/>
                      <w:szCs w:val="18"/>
                    </w:rPr>
                  </w:pPr>
                  <w:r>
                    <w:rPr>
                      <w:rFonts w:hint="eastAsia"/>
                      <w:color w:val="000000" w:themeColor="text1" w:themeShade="BF"/>
                      <w:sz w:val="18"/>
                      <w:szCs w:val="18"/>
                    </w:rPr>
                    <w:t xml:space="preserve">10,071.62 </w:t>
                  </w:r>
                </w:p>
              </w:tc>
              <w:tc>
                <w:tcPr>
                  <w:tcW w:w="1869"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12,996.50 </w:t>
                  </w:r>
                </w:p>
              </w:tc>
              <w:tc>
                <w:tcPr>
                  <w:tcW w:w="1638" w:type="dxa"/>
                  <w:tcBorders>
                    <w:right w:val="nil"/>
                    <w:insideV w:val="nil"/>
                  </w:tcBorders>
                  <w:shd w:val="clear" w:color="auto" w:fill="BFBFBF" w:themeFill="text1" w:themeFillTint="3F"/>
                  <w:vAlign w:val="center"/>
                </w:tcPr>
                <w:p>
                  <w:pPr>
                    <w:ind w:firstLine="440"/>
                    <w:rPr>
                      <w:rFonts w:ascii="宋体" w:hAnsi="宋体" w:cs="宋体"/>
                      <w:color w:val="000000"/>
                      <w:sz w:val="22"/>
                      <w:szCs w:val="22"/>
                    </w:rPr>
                  </w:pPr>
                  <w:r>
                    <w:rPr>
                      <w:rFonts w:hint="eastAsia"/>
                      <w:color w:val="000000"/>
                      <w:sz w:val="22"/>
                      <w:szCs w:val="22"/>
                    </w:rPr>
                    <w:t>77.49</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vAlign w:val="center"/>
                </w:tcPr>
                <w:p>
                  <w:pPr>
                    <w:ind w:firstLine="361"/>
                    <w:rPr>
                      <w:b/>
                      <w:bCs/>
                      <w:color w:val="000000" w:themeColor="text1" w:themeShade="BF"/>
                      <w:sz w:val="18"/>
                      <w:szCs w:val="18"/>
                    </w:rPr>
                  </w:pPr>
                  <w:r>
                    <w:rPr>
                      <w:rFonts w:hint="eastAsia"/>
                      <w:b/>
                      <w:bCs/>
                      <w:color w:val="000000" w:themeColor="text1" w:themeShade="BF"/>
                      <w:sz w:val="18"/>
                      <w:szCs w:val="18"/>
                    </w:rPr>
                    <w:t>浙江农林大学暨阳学院</w:t>
                  </w:r>
                </w:p>
              </w:tc>
              <w:tc>
                <w:tcPr>
                  <w:tcW w:w="1737" w:type="dxa"/>
                  <w:vAlign w:val="center"/>
                </w:tcPr>
                <w:p>
                  <w:pPr>
                    <w:ind w:firstLine="360"/>
                    <w:rPr>
                      <w:color w:val="000000" w:themeColor="text1" w:themeShade="BF"/>
                      <w:sz w:val="18"/>
                      <w:szCs w:val="18"/>
                    </w:rPr>
                  </w:pPr>
                  <w:r>
                    <w:rPr>
                      <w:rFonts w:hint="eastAsia"/>
                      <w:color w:val="000000" w:themeColor="text1" w:themeShade="BF"/>
                      <w:sz w:val="18"/>
                      <w:szCs w:val="18"/>
                    </w:rPr>
                    <w:t xml:space="preserve">11,509.62 </w:t>
                  </w:r>
                </w:p>
              </w:tc>
              <w:tc>
                <w:tcPr>
                  <w:tcW w:w="1869" w:type="dxa"/>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15,062.86 </w:t>
                  </w:r>
                </w:p>
              </w:tc>
              <w:tc>
                <w:tcPr>
                  <w:tcW w:w="1638" w:type="dxa"/>
                  <w:vAlign w:val="center"/>
                </w:tcPr>
                <w:p>
                  <w:pPr>
                    <w:ind w:firstLine="440"/>
                    <w:rPr>
                      <w:rFonts w:ascii="宋体" w:hAnsi="宋体" w:cs="宋体"/>
                      <w:color w:val="000000"/>
                      <w:sz w:val="22"/>
                      <w:szCs w:val="22"/>
                    </w:rPr>
                  </w:pPr>
                  <w:r>
                    <w:rPr>
                      <w:rFonts w:hint="eastAsia"/>
                      <w:color w:val="000000"/>
                      <w:sz w:val="22"/>
                      <w:szCs w:val="22"/>
                    </w:rPr>
                    <w:t>76.41</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2803" w:type="dxa"/>
                  <w:tcBorders>
                    <w:left w:val="nil"/>
                    <w:right w:val="nil"/>
                    <w:insideV w:val="nil"/>
                  </w:tcBorders>
                  <w:shd w:val="clear" w:color="auto" w:fill="BFBFBF" w:themeFill="text1" w:themeFillTint="3F"/>
                  <w:vAlign w:val="center"/>
                </w:tcPr>
                <w:p>
                  <w:pPr>
                    <w:ind w:firstLine="361"/>
                    <w:rPr>
                      <w:b/>
                      <w:bCs/>
                      <w:color w:val="000000" w:themeColor="text1" w:themeShade="BF"/>
                      <w:sz w:val="18"/>
                      <w:szCs w:val="18"/>
                    </w:rPr>
                  </w:pPr>
                  <w:r>
                    <w:rPr>
                      <w:rFonts w:hint="eastAsia"/>
                      <w:b/>
                      <w:bCs/>
                      <w:color w:val="000000" w:themeColor="text1" w:themeShade="BF"/>
                      <w:sz w:val="18"/>
                      <w:szCs w:val="18"/>
                    </w:rPr>
                    <w:t>浙江师范大学行知学院</w:t>
                  </w:r>
                </w:p>
              </w:tc>
              <w:tc>
                <w:tcPr>
                  <w:tcW w:w="1737" w:type="dxa"/>
                  <w:tcBorders>
                    <w:right w:val="nil"/>
                    <w:insideV w:val="nil"/>
                  </w:tcBorders>
                  <w:shd w:val="clear" w:color="auto" w:fill="BFBFBF" w:themeFill="text1" w:themeFillTint="3F"/>
                  <w:vAlign w:val="center"/>
                </w:tcPr>
                <w:p>
                  <w:pPr>
                    <w:ind w:firstLine="360"/>
                    <w:rPr>
                      <w:color w:val="000000" w:themeColor="text1" w:themeShade="BF"/>
                      <w:sz w:val="18"/>
                      <w:szCs w:val="18"/>
                    </w:rPr>
                  </w:pPr>
                  <w:r>
                    <w:rPr>
                      <w:rFonts w:hint="eastAsia"/>
                      <w:color w:val="000000" w:themeColor="text1" w:themeShade="BF"/>
                      <w:sz w:val="18"/>
                      <w:szCs w:val="18"/>
                    </w:rPr>
                    <w:t xml:space="preserve">11,862.28 </w:t>
                  </w:r>
                </w:p>
              </w:tc>
              <w:tc>
                <w:tcPr>
                  <w:tcW w:w="1869" w:type="dxa"/>
                  <w:tcBorders>
                    <w:right w:val="nil"/>
                    <w:insideV w:val="nil"/>
                  </w:tcBorders>
                  <w:shd w:val="clear" w:color="auto" w:fill="BFBFBF" w:themeFill="text1" w:themeFillTint="3F"/>
                  <w:vAlign w:val="center"/>
                </w:tcPr>
                <w:p>
                  <w:pPr>
                    <w:widowControl/>
                    <w:ind w:firstLine="360"/>
                    <w:rPr>
                      <w:color w:val="000000" w:themeColor="text1" w:themeShade="BF"/>
                      <w:sz w:val="18"/>
                      <w:szCs w:val="18"/>
                    </w:rPr>
                  </w:pPr>
                  <w:r>
                    <w:rPr>
                      <w:rFonts w:hint="eastAsia"/>
                      <w:color w:val="000000" w:themeColor="text1" w:themeShade="BF"/>
                      <w:sz w:val="18"/>
                      <w:szCs w:val="18"/>
                    </w:rPr>
                    <w:t xml:space="preserve">12,543.81 </w:t>
                  </w:r>
                </w:p>
              </w:tc>
              <w:tc>
                <w:tcPr>
                  <w:tcW w:w="1638" w:type="dxa"/>
                  <w:tcBorders>
                    <w:right w:val="nil"/>
                    <w:insideV w:val="nil"/>
                  </w:tcBorders>
                  <w:shd w:val="clear" w:color="auto" w:fill="BFBFBF" w:themeFill="text1" w:themeFillTint="3F"/>
                  <w:vAlign w:val="center"/>
                </w:tcPr>
                <w:p>
                  <w:pPr>
                    <w:ind w:firstLine="440"/>
                    <w:rPr>
                      <w:rFonts w:ascii="宋体" w:hAnsi="宋体" w:cs="宋体"/>
                      <w:color w:val="000000"/>
                      <w:sz w:val="22"/>
                      <w:szCs w:val="22"/>
                    </w:rPr>
                  </w:pPr>
                  <w:r>
                    <w:rPr>
                      <w:rFonts w:hint="eastAsia"/>
                      <w:color w:val="000000"/>
                      <w:sz w:val="22"/>
                      <w:szCs w:val="22"/>
                    </w:rPr>
                    <w:t>94.57</w:t>
                  </w:r>
                </w:p>
              </w:tc>
            </w:tr>
          </w:tbl>
          <w:p>
            <w:pPr>
              <w:spacing w:line="400" w:lineRule="exact"/>
              <w:ind w:firstLine="438"/>
              <w:rPr>
                <w:rFonts w:ascii="宋体" w:hAnsi="宋体" w:cs="宋体"/>
                <w:b/>
                <w:spacing w:val="4"/>
                <w:szCs w:val="21"/>
              </w:rPr>
            </w:pPr>
          </w:p>
          <w:p>
            <w:pPr>
              <w:spacing w:line="400" w:lineRule="exact"/>
              <w:ind w:firstLine="438"/>
              <w:rPr>
                <w:rFonts w:ascii="宋体" w:hAnsi="宋体" w:cs="黑体"/>
                <w:szCs w:val="21"/>
              </w:rPr>
            </w:pPr>
            <w:r>
              <w:rPr>
                <w:rFonts w:hint="eastAsia" w:ascii="宋体" w:hAnsi="宋体" w:cs="宋体"/>
                <w:b/>
                <w:spacing w:val="4"/>
                <w:szCs w:val="21"/>
              </w:rPr>
              <w:t>从教学经费运行管理层面看，</w:t>
            </w:r>
            <w:r>
              <w:rPr>
                <w:rFonts w:hint="eastAsia" w:ascii="宋体" w:hAnsi="宋体"/>
                <w:b/>
                <w:spacing w:val="4"/>
                <w:szCs w:val="21"/>
              </w:rPr>
              <w:t>独立学院内部教学管理体制机制的原因，教学经费预算安排、经费使用管理、绩效评价已经无法满足独立学院快速发展的需要。</w:t>
            </w:r>
          </w:p>
          <w:p>
            <w:pPr>
              <w:spacing w:line="400" w:lineRule="exact"/>
              <w:ind w:firstLine="422"/>
              <w:rPr>
                <w:rFonts w:ascii="宋体" w:hAnsi="宋体" w:cs="黑体"/>
                <w:szCs w:val="21"/>
              </w:rPr>
            </w:pPr>
            <w:r>
              <w:rPr>
                <w:rFonts w:hint="eastAsia" w:ascii="宋体" w:hAnsi="宋体" w:cs="黑体"/>
                <w:b/>
                <w:szCs w:val="21"/>
              </w:rPr>
              <w:t>一是教学经费项目安排粗放，分配不科学，使用方向偏离</w:t>
            </w:r>
          </w:p>
          <w:p>
            <w:pPr>
              <w:rPr>
                <w:rFonts w:ascii="宋体" w:hAnsi="宋体" w:cs="黑体"/>
                <w:szCs w:val="21"/>
              </w:rPr>
            </w:pPr>
            <w:r>
              <w:rPr>
                <w:rFonts w:hint="eastAsia" w:ascii="宋体" w:hAnsi="宋体" w:cs="黑体"/>
                <w:szCs w:val="21"/>
              </w:rPr>
              <w:t>大部分独立学院教学经费预算编制采用增量预算。这种预算编制方法不利于前后各个期间的预算衔接</w:t>
            </w:r>
            <w:r>
              <w:rPr>
                <w:rFonts w:ascii="宋体" w:hAnsi="宋体" w:cs="黑体"/>
                <w:szCs w:val="21"/>
              </w:rPr>
              <w:t>,</w:t>
            </w:r>
            <w:r>
              <w:rPr>
                <w:rFonts w:hint="eastAsia" w:ascii="宋体" w:hAnsi="宋体" w:cs="黑体"/>
                <w:szCs w:val="21"/>
              </w:rPr>
              <w:t>没有把学校的长期发展目标与预算联系起来</w:t>
            </w:r>
            <w:r>
              <w:rPr>
                <w:rFonts w:ascii="宋体" w:hAnsi="宋体" w:cs="黑体"/>
                <w:szCs w:val="21"/>
              </w:rPr>
              <w:t>,</w:t>
            </w:r>
            <w:r>
              <w:rPr>
                <w:rFonts w:hint="eastAsia" w:ascii="宋体" w:hAnsi="宋体" w:cs="黑体"/>
                <w:szCs w:val="21"/>
              </w:rPr>
              <w:t>不能适应连续不断的教学、科研等业务活动过程。教学工作涉及的环节多，过程复杂，有理论教学、实践教学，有课程实验、教学实习、生产实习、毕业实习等环节，各教学环节又有许多具体的内容，与之相关的经费项目繁杂和琐碎。由于经费分配缺乏科学依据，目标性不强，凭经验办事，随意性较大，因而出现各部门、甚至个人各自为政。有的学校原本为了能让院（系）和部门在执行过程中有一定的灵活性，采用划块方式安排教学经费，然而在预算实际执行过程中，不按规定使用教学经费，克扣、截留、挪用教学经费的现象时有发生；随意改变教学经费的支出用途，有些甚至用于科研项目中。</w:t>
            </w:r>
          </w:p>
          <w:p>
            <w:pPr>
              <w:rPr>
                <w:rFonts w:ascii="宋体" w:hAnsi="宋体" w:cs="黑体"/>
                <w:szCs w:val="21"/>
              </w:rPr>
            </w:pPr>
            <w:r>
              <w:rPr>
                <w:rFonts w:ascii="宋体" w:hAnsi="宋体" w:cs="黑体"/>
                <w:szCs w:val="21"/>
              </w:rPr>
              <w:t>在</w:t>
            </w:r>
            <w:r>
              <w:rPr>
                <w:rFonts w:hint="eastAsia" w:ascii="宋体" w:hAnsi="宋体" w:cs="黑体"/>
                <w:szCs w:val="21"/>
              </w:rPr>
              <w:t>独立学院</w:t>
            </w:r>
            <w:r>
              <w:rPr>
                <w:rFonts w:ascii="宋体" w:hAnsi="宋体" w:cs="黑体"/>
                <w:szCs w:val="21"/>
              </w:rPr>
              <w:t>处于</w:t>
            </w:r>
            <w:r>
              <w:rPr>
                <w:rFonts w:hint="eastAsia" w:ascii="宋体" w:hAnsi="宋体" w:cs="黑体"/>
                <w:szCs w:val="21"/>
              </w:rPr>
              <w:t>快速</w:t>
            </w:r>
            <w:r>
              <w:rPr>
                <w:rFonts w:ascii="宋体" w:hAnsi="宋体" w:cs="黑体"/>
                <w:szCs w:val="21"/>
              </w:rPr>
              <w:t>发展阶段的情况下，</w:t>
            </w:r>
            <w:r>
              <w:rPr>
                <w:rFonts w:hint="eastAsia" w:ascii="宋体" w:hAnsi="宋体" w:cs="黑体"/>
                <w:szCs w:val="21"/>
              </w:rPr>
              <w:t>校园的建设</w:t>
            </w:r>
            <w:r>
              <w:rPr>
                <w:rFonts w:ascii="宋体" w:hAnsi="宋体" w:cs="黑体"/>
                <w:szCs w:val="21"/>
              </w:rPr>
              <w:t>项目有轻重缓急，</w:t>
            </w:r>
            <w:r>
              <w:rPr>
                <w:rFonts w:hint="eastAsia" w:ascii="宋体" w:hAnsi="宋体" w:cs="黑体"/>
                <w:szCs w:val="21"/>
              </w:rPr>
              <w:t>大量</w:t>
            </w:r>
            <w:r>
              <w:rPr>
                <w:rFonts w:ascii="宋体" w:hAnsi="宋体" w:cs="黑体"/>
                <w:szCs w:val="21"/>
              </w:rPr>
              <w:t>资金需要集中调度，承担权责相应的二级财务管理的规章制度、内部控制制度却未完全形成，导致对各二级单位</w:t>
            </w:r>
            <w:r>
              <w:rPr>
                <w:rFonts w:hint="eastAsia" w:ascii="宋体" w:hAnsi="宋体" w:cs="黑体"/>
                <w:szCs w:val="21"/>
              </w:rPr>
              <w:t>教学经费</w:t>
            </w:r>
            <w:r>
              <w:rPr>
                <w:rFonts w:ascii="宋体" w:hAnsi="宋体" w:cs="黑体"/>
                <w:szCs w:val="21"/>
              </w:rPr>
              <w:t>支出控制无力，</w:t>
            </w:r>
            <w:r>
              <w:rPr>
                <w:rFonts w:hint="eastAsia" w:ascii="宋体" w:hAnsi="宋体" w:cs="黑体"/>
                <w:szCs w:val="21"/>
              </w:rPr>
              <w:t>学校的教学管理部门对教学经费的管理缺乏应有的支配权，产生学校对</w:t>
            </w:r>
            <w:r>
              <w:rPr>
                <w:rFonts w:ascii="宋体" w:hAnsi="宋体" w:cs="黑体"/>
                <w:szCs w:val="21"/>
              </w:rPr>
              <w:t>教学、师资、专业建设、学科整合等影响学校发展的重要因素</w:t>
            </w:r>
            <w:r>
              <w:rPr>
                <w:rFonts w:hint="eastAsia" w:ascii="宋体" w:hAnsi="宋体" w:cs="黑体"/>
                <w:szCs w:val="21"/>
              </w:rPr>
              <w:t>各方面缺乏影响力。这些问题积累的时间长了，必将直接影响到人才培养的质量，不利于学校的教学水平的提高。</w:t>
            </w:r>
          </w:p>
          <w:p>
            <w:pPr>
              <w:spacing w:line="400" w:lineRule="exact"/>
              <w:ind w:firstLine="422"/>
              <w:rPr>
                <w:rFonts w:ascii="宋体" w:hAnsi="宋体" w:cs="黑体"/>
                <w:szCs w:val="21"/>
              </w:rPr>
            </w:pPr>
            <w:r>
              <w:rPr>
                <w:rFonts w:hint="eastAsia" w:ascii="宋体" w:hAnsi="宋体" w:cs="黑体"/>
                <w:b/>
                <w:szCs w:val="21"/>
              </w:rPr>
              <w:t>二是教学经费预算执行监督不到位，经费支出结构不合理</w:t>
            </w:r>
          </w:p>
          <w:p>
            <w:pPr>
              <w:spacing w:line="400" w:lineRule="exact"/>
              <w:rPr>
                <w:rFonts w:ascii="宋体" w:hAnsi="宋体" w:cs="黑体"/>
                <w:szCs w:val="21"/>
              </w:rPr>
            </w:pPr>
            <w:r>
              <w:rPr>
                <w:rFonts w:hint="eastAsia" w:ascii="宋体" w:hAnsi="宋体" w:cs="黑体"/>
                <w:szCs w:val="21"/>
              </w:rPr>
              <w:t>预算编制仅仅是预测</w:t>
            </w:r>
            <w:r>
              <w:rPr>
                <w:rFonts w:ascii="宋体" w:hAnsi="宋体" w:cs="黑体"/>
                <w:szCs w:val="21"/>
              </w:rPr>
              <w:t>,</w:t>
            </w:r>
            <w:r>
              <w:rPr>
                <w:rFonts w:hint="eastAsia" w:ascii="宋体" w:hAnsi="宋体" w:cs="黑体"/>
                <w:szCs w:val="21"/>
              </w:rPr>
              <w:t>而预算执行是实际，对预算执行进行监督是确保预算执行质量的关键。但是我国很多独立学院在运行中由于考虑到运行成本问题，财务队伍建设薄弱，几乎没有专门设置预算、内审等部门或岗位，日常的监督力量较弱，经费预算管理监督机制不健全，削弱了预算执行的力度。</w:t>
            </w:r>
          </w:p>
          <w:p>
            <w:pPr>
              <w:spacing w:line="400" w:lineRule="exact"/>
              <w:rPr>
                <w:rFonts w:ascii="宋体" w:hAnsi="宋体" w:cs="黑体"/>
                <w:szCs w:val="21"/>
              </w:rPr>
            </w:pPr>
            <w:r>
              <w:rPr>
                <w:rFonts w:hint="eastAsia" w:ascii="宋体" w:hAnsi="宋体" w:cs="黑体"/>
                <w:szCs w:val="21"/>
              </w:rPr>
              <w:t>独立学院教学经费支出结构不合理，存在不同程度的浪费。对于教学经费的投入如学院的教学业务费、实验费、实习费、教学改革、精品课程、名牌专业建设、双语教学专项经费等等很难说得到保证。在实际使用时，不按规定使用教学经费，截留、挪用教学经费的现象时有发生，随意更改教学经费的支出用途，直接影响到教学质量。学校的师资队伍建设</w:t>
            </w:r>
            <w:r>
              <w:rPr>
                <w:rFonts w:ascii="宋体" w:hAnsi="宋体" w:cs="黑体"/>
                <w:szCs w:val="21"/>
              </w:rPr>
              <w:t>、专业建设</w:t>
            </w:r>
            <w:r>
              <w:rPr>
                <w:rFonts w:hint="eastAsia" w:ascii="宋体" w:hAnsi="宋体" w:cs="黑体"/>
                <w:szCs w:val="21"/>
              </w:rPr>
              <w:t>布局</w:t>
            </w:r>
            <w:r>
              <w:rPr>
                <w:rFonts w:ascii="宋体" w:hAnsi="宋体" w:cs="黑体"/>
                <w:szCs w:val="21"/>
              </w:rPr>
              <w:t>、学科整合等，都是影响学校发展的重要因素。</w:t>
            </w:r>
            <w:r>
              <w:rPr>
                <w:rFonts w:hint="eastAsia" w:ascii="宋体" w:hAnsi="宋体" w:cs="黑体"/>
                <w:szCs w:val="21"/>
              </w:rPr>
              <w:t>对于设备仪器的采购和管理不善，重复购置；实验室建设项目没有长远规划，实验室建设不能满足学院发展的需要；还有部分独立学院分成协议，一般每年按学费收入的一定比例上缴给母体高校高额管理费</w:t>
            </w:r>
            <w:r>
              <w:rPr>
                <w:rFonts w:ascii="宋体" w:hAnsi="宋体" w:cs="黑体"/>
                <w:szCs w:val="21"/>
              </w:rPr>
              <w:t>,</w:t>
            </w:r>
            <w:r>
              <w:rPr>
                <w:rFonts w:hint="eastAsia" w:ascii="宋体" w:hAnsi="宋体" w:cs="黑体"/>
                <w:szCs w:val="21"/>
              </w:rPr>
              <w:t>许多独立学院为了节约经费，基本上没有设立或仅分配很少的经费用于吸引和学生实验、实习环节。独立学院的</w:t>
            </w:r>
            <w:r>
              <w:rPr>
                <w:rFonts w:ascii="宋体" w:hAnsi="宋体" w:cs="黑体"/>
                <w:szCs w:val="21"/>
              </w:rPr>
              <w:t>教育教学质量的提升，需要</w:t>
            </w:r>
            <w:r>
              <w:rPr>
                <w:rFonts w:hint="eastAsia" w:ascii="宋体" w:hAnsi="宋体" w:cs="黑体"/>
                <w:szCs w:val="21"/>
              </w:rPr>
              <w:t>下属各</w:t>
            </w:r>
            <w:r>
              <w:rPr>
                <w:rFonts w:ascii="宋体" w:hAnsi="宋体" w:cs="黑体"/>
                <w:szCs w:val="21"/>
              </w:rPr>
              <w:t>二级院系教育教学水平的提高，</w:t>
            </w:r>
            <w:r>
              <w:rPr>
                <w:rFonts w:hint="eastAsia" w:ascii="宋体" w:hAnsi="宋体" w:cs="黑体"/>
                <w:szCs w:val="21"/>
              </w:rPr>
              <w:t>独立学院</w:t>
            </w:r>
            <w:r>
              <w:rPr>
                <w:rFonts w:ascii="宋体" w:hAnsi="宋体" w:cs="黑体"/>
                <w:szCs w:val="21"/>
              </w:rPr>
              <w:t>所有的工作应该以教学为中心，</w:t>
            </w:r>
            <w:r>
              <w:rPr>
                <w:rFonts w:hint="eastAsia" w:ascii="宋体" w:hAnsi="宋体" w:cs="黑体"/>
                <w:szCs w:val="21"/>
              </w:rPr>
              <w:t>必须有足够的教学经费作为保障</w:t>
            </w:r>
            <w:r>
              <w:rPr>
                <w:rFonts w:ascii="宋体" w:hAnsi="宋体" w:cs="黑体"/>
                <w:szCs w:val="21"/>
              </w:rPr>
              <w:t>。</w:t>
            </w:r>
          </w:p>
          <w:p>
            <w:pPr>
              <w:ind w:firstLine="384" w:firstLineChars="182"/>
              <w:rPr>
                <w:rFonts w:ascii="宋体" w:hAnsi="宋体" w:cs="黑体"/>
                <w:szCs w:val="21"/>
              </w:rPr>
            </w:pPr>
            <w:r>
              <w:rPr>
                <w:rFonts w:hint="eastAsia" w:ascii="宋体" w:hAnsi="宋体" w:cs="黑体"/>
                <w:b/>
                <w:szCs w:val="21"/>
              </w:rPr>
              <w:t>三是教学经费预算绩效评价不健全，经费使用效益缺乏有效督查</w:t>
            </w:r>
          </w:p>
          <w:p>
            <w:pPr>
              <w:spacing w:line="400" w:lineRule="exact"/>
              <w:rPr>
                <w:rFonts w:ascii="宋体" w:hAnsi="宋体" w:cs="黑体"/>
                <w:szCs w:val="21"/>
              </w:rPr>
            </w:pPr>
            <w:r>
              <w:rPr>
                <w:rFonts w:hint="eastAsia" w:ascii="宋体" w:hAnsi="宋体" w:cs="黑体"/>
                <w:szCs w:val="21"/>
              </w:rPr>
              <w:t>经费绩效考评是通过考核绩效指标实现对经费投入产出比、经费支出经济性及经费支出结构合理性等方面的评估</w:t>
            </w:r>
            <w:r>
              <w:rPr>
                <w:rFonts w:ascii="宋体" w:hAnsi="宋体" w:cs="黑体"/>
                <w:szCs w:val="21"/>
              </w:rPr>
              <w:t>,</w:t>
            </w:r>
            <w:r>
              <w:rPr>
                <w:rFonts w:hint="eastAsia" w:ascii="宋体" w:hAnsi="宋体" w:cs="黑体"/>
                <w:szCs w:val="21"/>
              </w:rPr>
              <w:t>并将考评结果作为奖惩相关责任部门或责任人的依据。但是目前</w:t>
            </w:r>
            <w:r>
              <w:rPr>
                <w:rFonts w:ascii="宋体" w:hAnsi="宋体" w:cs="黑体"/>
                <w:szCs w:val="21"/>
              </w:rPr>
              <w:t>,</w:t>
            </w:r>
            <w:r>
              <w:rPr>
                <w:rFonts w:hint="eastAsia" w:ascii="宋体" w:hAnsi="宋体" w:cs="黑体"/>
                <w:szCs w:val="21"/>
              </w:rPr>
              <w:t>多数独立学院经费预算绩效评价制度缺失，未将绩效管理应用到预算管理中，内部激励机制缺失，不利于独立学院对预算执行者实行有效的激励和约束。</w:t>
            </w:r>
          </w:p>
          <w:p>
            <w:pPr>
              <w:ind w:firstLine="382" w:firstLineChars="182"/>
              <w:rPr>
                <w:rFonts w:ascii="宋体" w:hAnsi="宋体" w:cs="黑体"/>
                <w:szCs w:val="21"/>
              </w:rPr>
            </w:pPr>
            <w:r>
              <w:rPr>
                <w:rFonts w:hint="eastAsia" w:ascii="宋体" w:hAnsi="宋体" w:cs="黑体"/>
                <w:szCs w:val="21"/>
              </w:rPr>
              <w:t>独立学院</w:t>
            </w:r>
            <w:r>
              <w:rPr>
                <w:rFonts w:ascii="宋体" w:hAnsi="宋体" w:cs="黑体"/>
                <w:szCs w:val="21"/>
              </w:rPr>
              <w:t>内部管理体制改革不顺、责权不明的情况，</w:t>
            </w:r>
            <w:r>
              <w:rPr>
                <w:rFonts w:hint="eastAsia" w:ascii="宋体" w:hAnsi="宋体" w:cs="黑体"/>
                <w:szCs w:val="21"/>
              </w:rPr>
              <w:t>职能部门较为重视经费投入前的审查和管理，轻视甚至忽视经费使用过程的监督和管理，独立学院存在图书资料、仪器设备、实验室等资产的利用率普遍较低。客观上，一方面一些高校没有教学经费使用督查机构和督查制度，其他部门也难以对这种现象进行监督管理；另一方面教学经费使用目前尚没有建立科学的评价体系，经费使用效益难以评估。因此二级学院（系）和部门重项目争取，轻项目实施过程的管理的现象普遍存在，又由于管理不善，搞小而全，无法实现资源共享，造成了资金的浪费。在具体的</w:t>
            </w:r>
            <w:r>
              <w:rPr>
                <w:rFonts w:ascii="宋体" w:hAnsi="宋体" w:cs="黑体"/>
                <w:szCs w:val="21"/>
              </w:rPr>
              <w:t>教学管理</w:t>
            </w:r>
            <w:r>
              <w:rPr>
                <w:rFonts w:hint="eastAsia" w:ascii="宋体" w:hAnsi="宋体" w:cs="黑体"/>
                <w:szCs w:val="21"/>
              </w:rPr>
              <w:t>中，教学管理</w:t>
            </w:r>
            <w:r>
              <w:rPr>
                <w:rFonts w:ascii="宋体" w:hAnsi="宋体" w:cs="黑体"/>
                <w:szCs w:val="21"/>
              </w:rPr>
              <w:t>的决策权大部分</w:t>
            </w:r>
            <w:r>
              <w:rPr>
                <w:rFonts w:hint="eastAsia" w:ascii="宋体" w:hAnsi="宋体" w:cs="黑体"/>
                <w:szCs w:val="21"/>
              </w:rPr>
              <w:t>在学校的</w:t>
            </w:r>
            <w:r>
              <w:rPr>
                <w:rFonts w:ascii="宋体" w:hAnsi="宋体" w:cs="黑体"/>
                <w:szCs w:val="21"/>
              </w:rPr>
              <w:t>教</w:t>
            </w:r>
            <w:r>
              <w:rPr>
                <w:rFonts w:hint="eastAsia" w:ascii="宋体" w:hAnsi="宋体" w:cs="黑体"/>
                <w:szCs w:val="21"/>
              </w:rPr>
              <w:t>学管理部门</w:t>
            </w:r>
            <w:r>
              <w:rPr>
                <w:rFonts w:ascii="宋体" w:hAnsi="宋体" w:cs="黑体"/>
                <w:szCs w:val="21"/>
              </w:rPr>
              <w:t>，使得二级学院的作用</w:t>
            </w:r>
            <w:r>
              <w:rPr>
                <w:rFonts w:hint="eastAsia" w:ascii="宋体" w:hAnsi="宋体" w:cs="黑体"/>
                <w:szCs w:val="21"/>
              </w:rPr>
              <w:t>是</w:t>
            </w:r>
            <w:r>
              <w:rPr>
                <w:rFonts w:ascii="宋体" w:hAnsi="宋体" w:cs="黑体"/>
                <w:szCs w:val="21"/>
              </w:rPr>
              <w:t>处理一些日常事务性工作上，比如排课、调课、教室借用、教材分发、考试安排等，这种状态使得二级学院</w:t>
            </w:r>
            <w:r>
              <w:rPr>
                <w:rFonts w:hint="eastAsia" w:ascii="宋体" w:hAnsi="宋体" w:cs="黑体"/>
                <w:szCs w:val="21"/>
              </w:rPr>
              <w:t>觉得没有</w:t>
            </w:r>
            <w:r>
              <w:rPr>
                <w:rFonts w:ascii="宋体" w:hAnsi="宋体" w:cs="黑体"/>
                <w:szCs w:val="21"/>
              </w:rPr>
              <w:t>主体感，就造成了二级学院的</w:t>
            </w:r>
            <w:r>
              <w:rPr>
                <w:rFonts w:hint="eastAsia" w:ascii="宋体" w:hAnsi="宋体" w:cs="黑体"/>
                <w:szCs w:val="21"/>
              </w:rPr>
              <w:t>教学</w:t>
            </w:r>
            <w:r>
              <w:rPr>
                <w:rFonts w:ascii="宋体" w:hAnsi="宋体" w:cs="黑体"/>
                <w:szCs w:val="21"/>
              </w:rPr>
              <w:t>管理依赖学校，缺乏主观能动性，缺乏创造力</w:t>
            </w:r>
            <w:r>
              <w:rPr>
                <w:rFonts w:hint="eastAsia" w:ascii="宋体" w:hAnsi="宋体" w:cs="黑体"/>
                <w:szCs w:val="21"/>
              </w:rPr>
              <w:t>，对于教学经费使用很少受到教学管理要求的制约，经费使用效率很难提高。在独立学院缺少严格的奖惩制度和科学的评价机制，也为教学经费的截留和挪用有了可乘之机。</w:t>
            </w:r>
          </w:p>
          <w:p>
            <w:pPr>
              <w:ind w:firstLine="384" w:firstLineChars="182"/>
              <w:rPr>
                <w:rFonts w:ascii="宋体" w:hAnsi="宋体" w:cs="黑体"/>
                <w:b/>
                <w:szCs w:val="21"/>
              </w:rPr>
            </w:pPr>
            <w:r>
              <w:rPr>
                <w:rFonts w:hint="eastAsia" w:ascii="宋体" w:hAnsi="宋体" w:cs="黑体"/>
                <w:b/>
                <w:szCs w:val="21"/>
              </w:rPr>
              <w:t>四是教学经费的账务管理薄弱，核算科目不规范</w:t>
            </w:r>
          </w:p>
          <w:p>
            <w:pPr>
              <w:ind w:firstLine="382" w:firstLineChars="182"/>
              <w:rPr>
                <w:rFonts w:ascii="宋体" w:hAnsi="宋体" w:cs="黑体"/>
                <w:szCs w:val="21"/>
              </w:rPr>
            </w:pPr>
            <w:r>
              <w:rPr>
                <w:rFonts w:hint="eastAsia" w:ascii="宋体" w:hAnsi="宋体" w:cs="黑体"/>
                <w:szCs w:val="21"/>
              </w:rPr>
              <w:t>目前独立学院会计支出科目还没有将经费项目编制细化到教学过程的每一个具体过程或具体对象，而是进行大类或切块安排经费，经费安排往往比较粗、比较刚性。未设置明细科目对其进行分类管理和核算，不能做到专款专用。这样做不仅容易挪用、挤占教学经费，而且给教学支出中需要的数据统计带来不便、不准的情况。</w:t>
            </w:r>
          </w:p>
          <w:p>
            <w:pPr>
              <w:ind w:firstLine="422"/>
              <w:rPr>
                <w:rFonts w:ascii="宋体" w:hAnsi="宋体" w:cs="黑体"/>
                <w:szCs w:val="21"/>
              </w:rPr>
            </w:pPr>
            <w:r>
              <w:rPr>
                <w:rFonts w:hint="eastAsia"/>
                <w:b/>
                <w:szCs w:val="21"/>
              </w:rPr>
              <w:t>综上分析，</w:t>
            </w:r>
            <w:r>
              <w:rPr>
                <w:rFonts w:hint="eastAsia" w:ascii="宋体" w:hAnsi="宋体" w:cs="黑体"/>
                <w:szCs w:val="21"/>
              </w:rPr>
              <w:t>独立学院教学经费的一定投入和有效使用是保证学校正常教学的基础，因此，教学经费的投入不足、使用不当或管理不善直接导致教学条件差，不能为学生提供学习和发展的良好空间，降低了学生的学习兴趣，最终会导致高校教学水平的整体滑坡，产生多米诺骨牌效应。在政府对独立学院财政补助政策没有实现的情况下，就当前独立学院教学经费管理现状，如何科学分配教学经费、加强教学经费使用管理、提高使用效益等方面进行研究，需要引起我们足够的重视。</w:t>
            </w:r>
          </w:p>
          <w:p>
            <w:pPr>
              <w:ind w:firstLine="382" w:firstLineChars="182"/>
              <w:rPr>
                <w:color w:val="000000"/>
                <w:u w:color="000000"/>
              </w:rPr>
            </w:pPr>
          </w:p>
        </w:tc>
      </w:tr>
    </w:tbl>
    <w:p>
      <w:pPr>
        <w:widowControl/>
        <w:autoSpaceDE/>
        <w:autoSpaceDN/>
        <w:adjustRightInd/>
        <w:spacing w:line="640" w:lineRule="atLeast"/>
        <w:ind w:firstLine="0" w:firstLineChars="0"/>
        <w:jc w:val="both"/>
        <w:textAlignment w:val="baseline"/>
        <w:rPr>
          <w:color w:val="000000"/>
          <w:u w:color="000000"/>
        </w:rPr>
      </w:pPr>
      <w:r>
        <w:rPr>
          <w:rFonts w:hint="eastAsia" w:eastAsia="仿宋_GB2312"/>
          <w:color w:val="000000"/>
          <w:sz w:val="28"/>
          <w:u w:color="000000"/>
        </w:rPr>
        <w:t>三、项目实施方案及实施计划</w:t>
      </w:r>
    </w:p>
    <w:tbl>
      <w:tblPr>
        <w:tblStyle w:val="11"/>
        <w:tblW w:w="8568"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64" w:hRule="atLeast"/>
        </w:trPr>
        <w:tc>
          <w:tcPr>
            <w:tcW w:w="8568" w:type="dxa"/>
            <w:tcBorders>
              <w:top w:val="single" w:color="000000" w:sz="2" w:space="0"/>
              <w:left w:val="single" w:color="000000" w:sz="2" w:space="0"/>
              <w:bottom w:val="single" w:color="000000" w:sz="2" w:space="0"/>
              <w:right w:val="single" w:color="000000" w:sz="2" w:space="0"/>
            </w:tcBorders>
          </w:tcPr>
          <w:p>
            <w:pPr>
              <w:widowControl/>
              <w:autoSpaceDE/>
              <w:autoSpaceDN/>
              <w:adjustRightInd/>
              <w:spacing w:line="640" w:lineRule="atLeast"/>
              <w:ind w:firstLine="0" w:firstLineChars="0"/>
              <w:textAlignment w:val="baseline"/>
              <w:rPr>
                <w:rFonts w:eastAsia="仿宋_GB2312"/>
                <w:color w:val="000000"/>
                <w:u w:color="000000"/>
              </w:rPr>
            </w:pPr>
            <w:r>
              <w:rPr>
                <w:rFonts w:eastAsia="仿宋_GB2312"/>
                <w:color w:val="000000"/>
                <w:u w:color="000000"/>
              </w:rPr>
              <w:t>1.</w:t>
            </w:r>
            <w:r>
              <w:rPr>
                <w:rFonts w:hint="eastAsia" w:eastAsia="仿宋_GB2312"/>
                <w:color w:val="000000"/>
                <w:u w:color="000000"/>
              </w:rPr>
              <w:t>具体改革内容、改革目标和拟解决的关键问题</w:t>
            </w:r>
          </w:p>
          <w:p>
            <w:pPr>
              <w:snapToGrid w:val="0"/>
              <w:ind w:firstLine="482"/>
              <w:rPr>
                <w:rFonts w:ascii="宋体" w:hAnsi="宋体"/>
                <w:b/>
                <w:sz w:val="24"/>
              </w:rPr>
            </w:pPr>
          </w:p>
          <w:p>
            <w:pPr>
              <w:snapToGrid w:val="0"/>
              <w:ind w:firstLine="482"/>
              <w:rPr>
                <w:rFonts w:ascii="宋体" w:hAnsi="宋体"/>
                <w:b/>
                <w:color w:val="000000"/>
                <w:sz w:val="24"/>
              </w:rPr>
            </w:pPr>
            <w:r>
              <w:rPr>
                <w:rFonts w:hint="eastAsia" w:ascii="宋体" w:hAnsi="宋体"/>
                <w:b/>
                <w:sz w:val="24"/>
              </w:rPr>
              <w:t xml:space="preserve">[ </w:t>
            </w:r>
            <w:r>
              <w:rPr>
                <w:rFonts w:hint="eastAsia" w:ascii="宋体" w:hAnsi="宋体"/>
                <w:b/>
                <w:color w:val="000000"/>
                <w:sz w:val="24"/>
              </w:rPr>
              <w:t>改革目标与内容 ]</w:t>
            </w:r>
          </w:p>
          <w:p>
            <w:pPr>
              <w:ind w:firstLine="517" w:firstLineChars="245"/>
              <w:rPr>
                <w:rFonts w:ascii="宋体" w:hAnsi="宋体"/>
                <w:b/>
                <w:color w:val="000000"/>
                <w:szCs w:val="21"/>
              </w:rPr>
            </w:pPr>
            <w:r>
              <w:rPr>
                <w:rFonts w:hint="eastAsia" w:ascii="宋体" w:hAnsi="宋体"/>
                <w:b/>
                <w:color w:val="000000"/>
                <w:szCs w:val="21"/>
              </w:rPr>
              <w:t>改革目标之一：</w:t>
            </w:r>
            <w:r>
              <w:rPr>
                <w:rFonts w:hint="eastAsia" w:ascii="宋体" w:hAnsi="宋体" w:cs="黑体"/>
                <w:b/>
                <w:szCs w:val="21"/>
              </w:rPr>
              <w:t>确立独立学院教学经费投入的量化机制。</w:t>
            </w:r>
          </w:p>
          <w:p>
            <w:pPr>
              <w:ind w:firstLine="517" w:firstLineChars="245"/>
              <w:rPr>
                <w:rFonts w:ascii="宋体" w:hAnsi="宋体" w:cs="宋体"/>
                <w:szCs w:val="21"/>
              </w:rPr>
            </w:pPr>
            <w:r>
              <w:rPr>
                <w:rFonts w:hint="eastAsia" w:ascii="宋体" w:hAnsi="宋体"/>
                <w:b/>
                <w:color w:val="000000"/>
                <w:szCs w:val="21"/>
              </w:rPr>
              <w:t>改革内容：</w:t>
            </w:r>
            <w:r>
              <w:rPr>
                <w:rFonts w:hint="eastAsia" w:ascii="宋体" w:hAnsi="宋体" w:cs="宋体"/>
                <w:szCs w:val="21"/>
              </w:rPr>
              <w:t>浙江省2016年</w:t>
            </w:r>
            <w:r>
              <w:rPr>
                <w:rFonts w:ascii="宋体" w:hAnsi="宋体" w:cs="宋体"/>
                <w:szCs w:val="21"/>
              </w:rPr>
              <w:t>发布的《浙江省普通本科高校分类评价管理改革办法（试行）》</w:t>
            </w:r>
            <w:r>
              <w:rPr>
                <w:rFonts w:hint="eastAsia" w:ascii="宋体" w:hAnsi="宋体" w:cs="宋体"/>
                <w:szCs w:val="21"/>
              </w:rPr>
              <w:t>中在“人才培养”一级指标中对“</w:t>
            </w:r>
            <w:r>
              <w:t>教学经费占学校定额拨款和学费收入总额的比重</w:t>
            </w:r>
            <w:r>
              <w:rPr>
                <w:rFonts w:hint="eastAsia"/>
              </w:rPr>
              <w:t>”、“</w:t>
            </w:r>
            <w:r>
              <w:t>生均图书经费投入（含电子图书资源）</w:t>
            </w:r>
            <w:r>
              <w:rPr>
                <w:rFonts w:hint="eastAsia"/>
              </w:rPr>
              <w:t>”及“</w:t>
            </w:r>
            <w:r>
              <w:t>生均实习实训经费</w:t>
            </w:r>
            <w:r>
              <w:rPr>
                <w:rFonts w:hint="eastAsia"/>
              </w:rPr>
              <w:t>”按高校的排名或年度增长率给予不同分值，促使了高校（包括独立学院）增加</w:t>
            </w:r>
            <w:r>
              <w:rPr>
                <w:rFonts w:hint="eastAsia" w:ascii="宋体" w:hAnsi="宋体" w:cs="宋体"/>
                <w:szCs w:val="21"/>
              </w:rPr>
              <w:t>教学</w:t>
            </w:r>
            <w:r>
              <w:rPr>
                <w:rFonts w:ascii="宋体" w:hAnsi="宋体" w:cs="宋体"/>
                <w:szCs w:val="21"/>
              </w:rPr>
              <w:t>经费的</w:t>
            </w:r>
            <w:r>
              <w:rPr>
                <w:rFonts w:hint="eastAsia" w:ascii="宋体" w:hAnsi="宋体" w:cs="宋体"/>
                <w:szCs w:val="21"/>
              </w:rPr>
              <w:t>投入</w:t>
            </w:r>
            <w:r>
              <w:rPr>
                <w:rFonts w:ascii="宋体" w:hAnsi="宋体" w:cs="宋体"/>
                <w:szCs w:val="21"/>
              </w:rPr>
              <w:t>比</w:t>
            </w:r>
            <w:r>
              <w:rPr>
                <w:rFonts w:hint="eastAsia" w:ascii="宋体" w:hAnsi="宋体" w:cs="宋体"/>
                <w:szCs w:val="21"/>
              </w:rPr>
              <w:t>例，</w:t>
            </w:r>
            <w:r>
              <w:rPr>
                <w:rFonts w:hint="eastAsia" w:ascii="宋体" w:hAnsi="宋体" w:cs="黑体"/>
                <w:szCs w:val="21"/>
              </w:rPr>
              <w:t>作为评价的教学重要指标，宏观上有利于保证教学经费的投入，但对于</w:t>
            </w:r>
            <w:r>
              <w:rPr>
                <w:rFonts w:hint="eastAsia" w:ascii="宋体" w:hAnsi="宋体" w:cs="黑体"/>
                <w:b/>
                <w:color w:val="000000" w:themeColor="text1"/>
                <w:szCs w:val="21"/>
              </w:rPr>
              <w:t>教学经费是</w:t>
            </w:r>
            <w:r>
              <w:rPr>
                <w:rFonts w:hint="eastAsia"/>
                <w:b/>
                <w:color w:val="000000" w:themeColor="text1"/>
              </w:rPr>
              <w:t>否充足的标准没有定量的说法，</w:t>
            </w:r>
            <w:r>
              <w:rPr>
                <w:rFonts w:hint="eastAsia"/>
              </w:rPr>
              <w:t>充足的教学经费是提高教学质量的重要物质条件，但如何定义“充足”确是一个难题。这涉及到提供最基本教学服务的最低标准和相关教学成本信息，而何为最基本的教学服务、这个最低标准的教学成本到底是多少等问题，目前没有科学的数据加以量化。</w:t>
            </w:r>
            <w:r>
              <w:rPr>
                <w:rFonts w:hint="eastAsia" w:ascii="宋体" w:hAnsi="宋体" w:cs="黑体"/>
                <w:szCs w:val="21"/>
              </w:rPr>
              <w:t>而目前</w:t>
            </w:r>
            <w:r>
              <w:rPr>
                <w:rFonts w:hint="eastAsia" w:ascii="宋体" w:hAnsi="宋体" w:cs="宋体"/>
                <w:szCs w:val="21"/>
              </w:rPr>
              <w:t>教学经费包括的内容也没有明确定规定，这使得评价高校教学经费量化投入的全面性、科学性和准确性都不够。另一方面作为浙江省独立学院规范化设置后，总体办学经费也相对匮乏，很难保证独立学院对教学经费的投入。</w:t>
            </w:r>
          </w:p>
          <w:p>
            <w:pPr>
              <w:ind w:firstLine="514" w:firstLineChars="245"/>
              <w:rPr>
                <w:rFonts w:ascii="宋体" w:hAnsi="宋体"/>
                <w:szCs w:val="21"/>
              </w:rPr>
            </w:pPr>
            <w:r>
              <w:rPr>
                <w:rFonts w:hint="eastAsia" w:ascii="宋体" w:hAnsi="宋体" w:cs="黑体"/>
                <w:szCs w:val="21"/>
              </w:rPr>
              <w:t>研究教学经费投入上的量化机制，一是要加强浙江省独立学院财务宏观投入的研究，充分分析浙江省独立学院的财务运行成本，</w:t>
            </w:r>
            <w:r>
              <w:rPr>
                <w:rFonts w:hint="eastAsia" w:ascii="宋体" w:hAnsi="宋体" w:cs="黑体"/>
                <w:b/>
                <w:szCs w:val="21"/>
              </w:rPr>
              <w:t>确立独立学院收费标准的市场运行机制，</w:t>
            </w:r>
            <w:r>
              <w:rPr>
                <w:rFonts w:hint="eastAsia" w:ascii="宋体" w:hAnsi="宋体" w:cs="黑体"/>
                <w:szCs w:val="21"/>
              </w:rPr>
              <w:t>为浙江省物价部门提供决策依据，同时争取省或地方财政部门的补助经费提供政策帮助，也要加大独立学院对于社会捐赠引资力度。二是要确定教学经费内涵，加强分类投入研究，区别教学经费的人员投入和公用投入、专项投入和日常投入、资本性投入与消耗性投入、人文社科类专业投入和理工农医类专业投入等投入特点，</w:t>
            </w:r>
            <w:r>
              <w:rPr>
                <w:rFonts w:hint="eastAsia" w:ascii="宋体" w:hAnsi="宋体" w:cs="黑体"/>
                <w:b/>
                <w:szCs w:val="21"/>
              </w:rPr>
              <w:t>优化教学经费投入的范围、项目、结构</w:t>
            </w:r>
            <w:r>
              <w:rPr>
                <w:rFonts w:hint="eastAsia" w:ascii="宋体" w:hAnsi="宋体" w:cs="黑体"/>
                <w:szCs w:val="21"/>
              </w:rPr>
              <w:t>，通过测算确立教学经费的规模、定额，</w:t>
            </w:r>
            <w:r>
              <w:rPr>
                <w:rFonts w:hint="eastAsia" w:ascii="宋体" w:hAnsi="宋体" w:cs="黑体"/>
                <w:b/>
                <w:szCs w:val="21"/>
              </w:rPr>
              <w:t>提出增长条件、增长比例，规范教学经费支出的核算、统计口径</w:t>
            </w:r>
            <w:r>
              <w:rPr>
                <w:rFonts w:hint="eastAsia" w:ascii="宋体" w:hAnsi="宋体" w:cs="宋体"/>
                <w:b/>
                <w:szCs w:val="21"/>
              </w:rPr>
              <w:t>和方法</w:t>
            </w:r>
            <w:r>
              <w:rPr>
                <w:rFonts w:hint="eastAsia" w:ascii="宋体" w:hAnsi="宋体" w:cs="黑体"/>
                <w:szCs w:val="21"/>
              </w:rPr>
              <w:t>等</w:t>
            </w:r>
            <w:r>
              <w:rPr>
                <w:rFonts w:hint="eastAsia" w:ascii="宋体" w:hAnsi="宋体" w:cs="宋体"/>
                <w:szCs w:val="21"/>
              </w:rPr>
              <w:t>，形成既符合</w:t>
            </w:r>
            <w:r>
              <w:rPr>
                <w:rFonts w:hint="eastAsia" w:ascii="宋体" w:hAnsi="宋体"/>
                <w:szCs w:val="21"/>
              </w:rPr>
              <w:t>国家规定的教学经费投入比例，又具有我省独立学院应用性高校建设特点的</w:t>
            </w:r>
            <w:r>
              <w:rPr>
                <w:rFonts w:hint="eastAsia" w:ascii="宋体" w:hAnsi="宋体" w:cs="宋体"/>
                <w:szCs w:val="21"/>
              </w:rPr>
              <w:t>教学经费</w:t>
            </w:r>
            <w:r>
              <w:rPr>
                <w:rFonts w:hint="eastAsia" w:ascii="宋体" w:hAnsi="宋体" w:cs="黑体"/>
                <w:szCs w:val="21"/>
              </w:rPr>
              <w:t>投入机制</w:t>
            </w:r>
            <w:r>
              <w:rPr>
                <w:rFonts w:hint="eastAsia" w:ascii="宋体" w:hAnsi="宋体"/>
                <w:szCs w:val="21"/>
              </w:rPr>
              <w:t>。</w:t>
            </w:r>
          </w:p>
          <w:p>
            <w:pPr>
              <w:ind w:firstLine="514" w:firstLineChars="245"/>
              <w:rPr>
                <w:rFonts w:ascii="宋体" w:hAnsi="宋体" w:cs="宋体"/>
                <w:szCs w:val="21"/>
              </w:rPr>
            </w:pPr>
          </w:p>
          <w:p>
            <w:pPr>
              <w:ind w:firstLine="413" w:firstLineChars="196"/>
              <w:rPr>
                <w:b/>
              </w:rPr>
            </w:pPr>
            <w:r>
              <w:rPr>
                <w:rFonts w:hint="eastAsia" w:ascii="宋体" w:hAnsi="宋体"/>
                <w:b/>
                <w:color w:val="000000"/>
                <w:szCs w:val="21"/>
              </w:rPr>
              <w:t>改革目标之二：建立独立学院</w:t>
            </w:r>
            <w:r>
              <w:rPr>
                <w:rFonts w:hint="eastAsia"/>
                <w:b/>
              </w:rPr>
              <w:t>教学经费财务预算的长效机制。</w:t>
            </w:r>
          </w:p>
          <w:p>
            <w:pPr>
              <w:ind w:firstLine="422"/>
              <w:rPr>
                <w:rFonts w:ascii="宋体" w:hAnsi="宋体" w:cs="黑体"/>
                <w:szCs w:val="21"/>
              </w:rPr>
            </w:pPr>
            <w:r>
              <w:rPr>
                <w:rFonts w:hint="eastAsia" w:ascii="宋体" w:hAnsi="宋体"/>
                <w:b/>
                <w:color w:val="000000"/>
                <w:szCs w:val="21"/>
              </w:rPr>
              <w:t>改革内容：</w:t>
            </w:r>
            <w:r>
              <w:rPr>
                <w:rFonts w:hint="eastAsia"/>
              </w:rPr>
              <w:t>教学经费之所以得不到保障，教学经费的预算缺乏硬约束是重要原因之一。衡量一所高校教学经费是否充足，是通过教学经费的支出来进行统计的，预算的功能没有得到有效体现。目前独立学院教学经费的预算是软预算，在分配既定经费时往往是遵循着这样的原则：一保吃饭，二保建设，三保发展。由于高校的人员经费和建设经费是钢性数字，不但不能随意压缩， 而且还有不断递增的规律，所以高校在经费分配时首要的是保证这两大块费用，其次才考虑其它经费，如购买教学设备、实验仪器、用于教学研究等，这样用于教学的经费是最容易压缩的。</w:t>
            </w:r>
            <w:r>
              <w:rPr>
                <w:rFonts w:hint="eastAsia" w:ascii="宋体" w:hAnsi="宋体" w:cs="黑体"/>
                <w:szCs w:val="21"/>
              </w:rPr>
              <w:t>为了满足“临时性”“应付性”的需要，“制度性”“权威性”还远远不能满足高校教学经费长期、有效保障的要求，因此需进一步改进和完善。</w:t>
            </w:r>
          </w:p>
          <w:p>
            <w:pPr>
              <w:rPr>
                <w:rFonts w:ascii="宋体" w:hAnsi="宋体"/>
                <w:color w:val="000000"/>
                <w:szCs w:val="21"/>
              </w:rPr>
            </w:pPr>
            <w:r>
              <w:rPr>
                <w:rFonts w:hint="eastAsia"/>
              </w:rPr>
              <w:t>通过</w:t>
            </w:r>
            <w:r>
              <w:rPr>
                <w:rFonts w:hint="eastAsia" w:ascii="宋体" w:hAnsi="宋体"/>
                <w:color w:val="000000"/>
                <w:szCs w:val="21"/>
              </w:rPr>
              <w:t>研究</w:t>
            </w:r>
            <w:r>
              <w:rPr>
                <w:rFonts w:hint="eastAsia" w:ascii="宋体" w:hAnsi="宋体"/>
                <w:b/>
                <w:color w:val="000000"/>
                <w:szCs w:val="21"/>
              </w:rPr>
              <w:t>制定</w:t>
            </w:r>
            <w:r>
              <w:rPr>
                <w:rFonts w:hint="eastAsia" w:ascii="宋体" w:hAnsi="宋体" w:cs="宋体"/>
                <w:b/>
                <w:szCs w:val="21"/>
              </w:rPr>
              <w:t>教育经费投入的稳定增长机制，</w:t>
            </w:r>
            <w:r>
              <w:rPr>
                <w:rFonts w:hint="eastAsia"/>
                <w:b/>
              </w:rPr>
              <w:t>合理调整预算的科目、定额、标准</w:t>
            </w:r>
            <w:r>
              <w:rPr>
                <w:rFonts w:hint="eastAsia"/>
              </w:rPr>
              <w:t>，改进部门预算管理基础措施，努力做到“一个部门、一本预算、一个账户”，</w:t>
            </w:r>
            <w:r>
              <w:rPr>
                <w:rFonts w:hint="eastAsia" w:ascii="宋体" w:hAnsi="宋体" w:cs="黑体"/>
                <w:szCs w:val="21"/>
              </w:rPr>
              <w:t>出台指导性的独立学院教学经费</w:t>
            </w:r>
            <w:r>
              <w:rPr>
                <w:rFonts w:hint="eastAsia" w:ascii="宋体" w:hAnsi="宋体" w:cs="宋体"/>
                <w:szCs w:val="21"/>
              </w:rPr>
              <w:t>投入</w:t>
            </w:r>
            <w:r>
              <w:rPr>
                <w:rFonts w:hint="eastAsia" w:ascii="宋体" w:hAnsi="宋体" w:cs="黑体"/>
                <w:szCs w:val="21"/>
              </w:rPr>
              <w:t>保障制度，</w:t>
            </w:r>
            <w:r>
              <w:rPr>
                <w:rFonts w:hint="eastAsia" w:ascii="宋体" w:hAnsi="宋体" w:cs="宋体"/>
                <w:szCs w:val="21"/>
              </w:rPr>
              <w:t>确保生均教学经费逐年增加</w:t>
            </w:r>
            <w:r>
              <w:rPr>
                <w:rFonts w:hint="eastAsia"/>
                <w:szCs w:val="21"/>
              </w:rPr>
              <w:t>，</w:t>
            </w:r>
            <w:r>
              <w:rPr>
                <w:rFonts w:hint="eastAsia" w:ascii="宋体" w:hAnsi="宋体"/>
                <w:b/>
                <w:color w:val="000000"/>
                <w:szCs w:val="21"/>
              </w:rPr>
              <w:t>建立</w:t>
            </w:r>
            <w:r>
              <w:rPr>
                <w:rFonts w:hint="eastAsia" w:ascii="宋体" w:hAnsi="宋体" w:cs="黑体"/>
                <w:szCs w:val="21"/>
              </w:rPr>
              <w:t>《</w:t>
            </w:r>
            <w:r>
              <w:rPr>
                <w:rFonts w:hint="eastAsia" w:ascii="宋体" w:hAnsi="宋体"/>
                <w:b/>
                <w:color w:val="000000"/>
                <w:szCs w:val="21"/>
              </w:rPr>
              <w:t>独立学院教学经费预决算报告制度</w:t>
            </w:r>
            <w:r>
              <w:rPr>
                <w:rFonts w:hint="eastAsia" w:ascii="宋体" w:hAnsi="宋体"/>
                <w:color w:val="000000"/>
                <w:szCs w:val="21"/>
              </w:rPr>
              <w:t>》</w:t>
            </w:r>
            <w:r>
              <w:rPr>
                <w:rFonts w:hint="eastAsia" w:ascii="宋体" w:hAnsi="宋体" w:cs="黑体"/>
                <w:szCs w:val="21"/>
              </w:rPr>
              <w:t>，实现教学业务费的项目化管理。</w:t>
            </w:r>
          </w:p>
          <w:p>
            <w:pPr>
              <w:ind w:firstLine="413" w:firstLineChars="196"/>
              <w:rPr>
                <w:rFonts w:ascii="宋体" w:hAnsi="宋体" w:cs="黑体"/>
                <w:b/>
                <w:szCs w:val="21"/>
              </w:rPr>
            </w:pPr>
            <w:r>
              <w:rPr>
                <w:rFonts w:hint="eastAsia" w:ascii="宋体" w:hAnsi="宋体"/>
                <w:b/>
                <w:color w:val="000000"/>
                <w:szCs w:val="21"/>
              </w:rPr>
              <w:t>改革目标之三：设立独立学院</w:t>
            </w:r>
            <w:r>
              <w:rPr>
                <w:rFonts w:hint="eastAsia" w:ascii="宋体" w:hAnsi="宋体" w:cs="黑体"/>
                <w:b/>
                <w:szCs w:val="21"/>
              </w:rPr>
              <w:t>教学经费使用上的运行机制。</w:t>
            </w:r>
          </w:p>
          <w:p>
            <w:pPr>
              <w:ind w:firstLine="422"/>
            </w:pPr>
            <w:r>
              <w:rPr>
                <w:rFonts w:hint="eastAsia" w:ascii="宋体" w:hAnsi="宋体"/>
                <w:b/>
                <w:color w:val="000000"/>
                <w:szCs w:val="21"/>
              </w:rPr>
              <w:t>改革内容：</w:t>
            </w:r>
            <w:r>
              <w:rPr>
                <w:rFonts w:hint="eastAsia"/>
              </w:rPr>
              <w:t>独立学院应当切实突出教学中心地位的原则，压缩其它开支，消除学校冗员，合理调整独立学院经费支出结构。削减非教学人员，把经费支出的重点转移到教学业务领域，减少教育资源的浪费，提高教育资源的使用效率。充分调剂资金，确保教学经费的足额投入。研究落实教学中心地位与学校建设和发展的关系，而且要严格教师编制管理，要参照学校实际情况和国家相关规定合理确定独立学院教职工编制标准，合理确定教师数量，严禁超编配备教师，减少人员经费方面不合理开支。研究独立学院推行管理体制改革，精简人员，为高校的发展减负，给教学经费的投入设置更大的空间。</w:t>
            </w:r>
            <w:r>
              <w:rPr>
                <w:rFonts w:hint="eastAsia"/>
                <w:b/>
                <w:szCs w:val="21"/>
              </w:rPr>
              <w:t>改进独立学院教学经费的内部保障机制</w:t>
            </w:r>
            <w:r>
              <w:rPr>
                <w:rFonts w:hint="eastAsia" w:ascii="宋体" w:hAnsi="宋体"/>
                <w:b/>
                <w:color w:val="000000"/>
                <w:szCs w:val="21"/>
              </w:rPr>
              <w:t>，</w:t>
            </w:r>
            <w:r>
              <w:rPr>
                <w:rFonts w:hint="eastAsia"/>
                <w:b/>
                <w:szCs w:val="21"/>
              </w:rPr>
              <w:t>建立</w:t>
            </w:r>
            <w:r>
              <w:rPr>
                <w:rFonts w:hint="eastAsia" w:ascii="宋体" w:hAnsi="宋体" w:cs="宋体"/>
                <w:b/>
                <w:szCs w:val="21"/>
              </w:rPr>
              <w:t>《</w:t>
            </w:r>
            <w:r>
              <w:rPr>
                <w:rFonts w:ascii="宋体" w:hAnsi="宋体" w:cs="宋体"/>
                <w:b/>
                <w:szCs w:val="21"/>
              </w:rPr>
              <w:t>教学</w:t>
            </w:r>
            <w:r>
              <w:rPr>
                <w:rFonts w:hint="eastAsia" w:ascii="宋体" w:hAnsi="宋体" w:cs="宋体"/>
                <w:b/>
                <w:szCs w:val="21"/>
              </w:rPr>
              <w:t>业务</w:t>
            </w:r>
            <w:r>
              <w:rPr>
                <w:rFonts w:ascii="宋体" w:hAnsi="宋体" w:cs="宋体"/>
                <w:b/>
                <w:szCs w:val="21"/>
              </w:rPr>
              <w:t>经费</w:t>
            </w:r>
            <w:r>
              <w:rPr>
                <w:rFonts w:hint="eastAsia" w:ascii="宋体" w:hAnsi="宋体" w:cs="宋体"/>
                <w:b/>
                <w:szCs w:val="21"/>
              </w:rPr>
              <w:t>定额（比例）与</w:t>
            </w:r>
            <w:r>
              <w:rPr>
                <w:rFonts w:ascii="宋体" w:hAnsi="宋体" w:cs="宋体"/>
                <w:b/>
                <w:szCs w:val="21"/>
              </w:rPr>
              <w:t>使用管理</w:t>
            </w:r>
            <w:r>
              <w:rPr>
                <w:rFonts w:hint="eastAsia" w:ascii="宋体" w:hAnsi="宋体" w:cs="宋体"/>
                <w:b/>
                <w:szCs w:val="21"/>
              </w:rPr>
              <w:t>办法》、《实践、实习教学经费使用规范》等制度</w:t>
            </w:r>
            <w:r>
              <w:rPr>
                <w:rFonts w:hint="eastAsia" w:ascii="宋体" w:hAnsi="宋体"/>
                <w:b/>
                <w:color w:val="000000"/>
                <w:szCs w:val="21"/>
              </w:rPr>
              <w:t>。</w:t>
            </w:r>
          </w:p>
          <w:p>
            <w:pPr>
              <w:rPr>
                <w:rFonts w:ascii="宋体" w:hAnsi="宋体"/>
                <w:color w:val="000000"/>
                <w:szCs w:val="21"/>
              </w:rPr>
            </w:pPr>
            <w:r>
              <w:rPr>
                <w:rFonts w:ascii="ˎ̥" w:hAnsi="ˎ̥"/>
              </w:rPr>
              <w:t>根据《中华人民共和国会计法》《中华人民共和国预算法》《政府会计准则——基本准则》等法律、行政法规和规章，</w:t>
            </w:r>
            <w:r>
              <w:rPr>
                <w:rFonts w:hint="eastAsia" w:ascii="ˎ̥" w:hAnsi="ˎ̥"/>
              </w:rPr>
              <w:t>以及新的</w:t>
            </w:r>
            <w:r>
              <w:rPr>
                <w:rFonts w:ascii="ˎ̥" w:hAnsi="ˎ̥"/>
              </w:rPr>
              <w:t>《政府会计制度——行政事业单位会计科目和报表》</w:t>
            </w:r>
            <w:r>
              <w:rPr>
                <w:rFonts w:hint="eastAsia" w:ascii="ˎ̥" w:hAnsi="ˎ̥"/>
              </w:rPr>
              <w:t>，按照</w:t>
            </w:r>
            <w:r>
              <w:rPr>
                <w:rFonts w:ascii="ˎ̥" w:hAnsi="ˎ̥"/>
              </w:rPr>
              <w:t>权责发生制</w:t>
            </w:r>
            <w:r>
              <w:rPr>
                <w:rFonts w:hint="eastAsia" w:ascii="ˎ̥" w:hAnsi="ˎ̥"/>
              </w:rPr>
              <w:t>的原则，</w:t>
            </w:r>
            <w:r>
              <w:rPr>
                <w:rFonts w:ascii="ˎ̥" w:hAnsi="ˎ̥"/>
              </w:rPr>
              <w:t>规范</w:t>
            </w:r>
            <w:r>
              <w:rPr>
                <w:rFonts w:hint="eastAsia" w:ascii="ˎ̥" w:hAnsi="ˎ̥"/>
              </w:rPr>
              <w:t>独立学院</w:t>
            </w:r>
            <w:r>
              <w:rPr>
                <w:rFonts w:ascii="ˎ̥" w:hAnsi="ˎ̥"/>
              </w:rPr>
              <w:t>会计核算</w:t>
            </w:r>
            <w:r>
              <w:rPr>
                <w:rFonts w:hint="eastAsia" w:ascii="ˎ̥" w:hAnsi="ˎ̥"/>
              </w:rPr>
              <w:t>，</w:t>
            </w:r>
            <w:r>
              <w:rPr>
                <w:rFonts w:hint="eastAsia"/>
              </w:rPr>
              <w:t>保障高校教学经费的投入，</w:t>
            </w:r>
            <w:r>
              <w:rPr>
                <w:rFonts w:hint="eastAsia"/>
                <w:b/>
              </w:rPr>
              <w:t>制订独立学院教学成本核算体系，研究改进独立学院会计制度的明细科目，增设教学经费科目</w:t>
            </w:r>
            <w:r>
              <w:rPr>
                <w:rFonts w:hint="eastAsia"/>
              </w:rPr>
              <w:t>，科学确定统一的统计口径，使教学经费的投入有自己的明细账。</w:t>
            </w:r>
          </w:p>
          <w:p>
            <w:pPr>
              <w:ind w:firstLine="413" w:firstLineChars="196"/>
              <w:rPr>
                <w:b/>
                <w:color w:val="FF0000"/>
              </w:rPr>
            </w:pPr>
            <w:r>
              <w:rPr>
                <w:rFonts w:hint="eastAsia" w:ascii="宋体" w:hAnsi="宋体"/>
                <w:b/>
                <w:color w:val="000000"/>
                <w:szCs w:val="21"/>
              </w:rPr>
              <w:t>改革目标之四：创立</w:t>
            </w:r>
            <w:r>
              <w:rPr>
                <w:rFonts w:hint="eastAsia" w:ascii="宋体" w:hAnsi="宋体" w:cs="黑体"/>
                <w:b/>
                <w:szCs w:val="21"/>
              </w:rPr>
              <w:t>教学经费使用上的绩效评价与监督机制。</w:t>
            </w:r>
          </w:p>
          <w:p>
            <w:pPr>
              <w:ind w:firstLine="413" w:firstLineChars="196"/>
              <w:rPr>
                <w:rFonts w:ascii="宋体" w:hAnsi="宋体"/>
                <w:color w:val="000000"/>
                <w:szCs w:val="21"/>
              </w:rPr>
            </w:pPr>
            <w:r>
              <w:rPr>
                <w:rFonts w:hint="eastAsia" w:ascii="宋体" w:hAnsi="宋体"/>
                <w:b/>
                <w:color w:val="000000"/>
                <w:szCs w:val="21"/>
              </w:rPr>
              <w:t>改革内容：</w:t>
            </w:r>
            <w:r>
              <w:rPr>
                <w:rFonts w:hint="eastAsia" w:ascii="宋体" w:hAnsi="宋体" w:cs="黑体"/>
                <w:szCs w:val="21"/>
              </w:rPr>
              <w:t>教学经费使用上的绩效评价是指运用管理学方法，采用特定的指标体系，对照统一的评价标准，按照一定的程序，通过定量定性对比分析，对独立学院一定期间的投入效益和管理者业绩，做出客观、公正和准确的综合评判。目前我省对高校教学专项经费的绩效评价比较重视，但对日常教学业务的使用绩效评价还是一个薄弱环节。具体改革的内容主要有：</w:t>
            </w:r>
            <w:r>
              <w:rPr>
                <w:rFonts w:hint="eastAsia" w:ascii="宋体" w:hAnsi="宋体" w:cs="黑体"/>
                <w:b/>
                <w:szCs w:val="21"/>
              </w:rPr>
              <w:t>通过独立学院设立</w:t>
            </w:r>
            <w:r>
              <w:rPr>
                <w:rFonts w:hint="eastAsia" w:ascii="宋体" w:hAnsi="宋体"/>
                <w:b/>
                <w:color w:val="000000"/>
                <w:szCs w:val="21"/>
              </w:rPr>
              <w:t>教学经费使用的考核评估机构</w:t>
            </w:r>
            <w:r>
              <w:rPr>
                <w:rFonts w:hint="eastAsia"/>
                <w:b/>
                <w:szCs w:val="21"/>
              </w:rPr>
              <w:t>，</w:t>
            </w:r>
            <w:r>
              <w:rPr>
                <w:rFonts w:hint="eastAsia" w:ascii="宋体" w:hAnsi="宋体"/>
                <w:b/>
                <w:color w:val="000000"/>
                <w:szCs w:val="21"/>
              </w:rPr>
              <w:t>建立</w:t>
            </w:r>
            <w:r>
              <w:rPr>
                <w:rFonts w:hint="eastAsia"/>
                <w:b/>
                <w:szCs w:val="21"/>
              </w:rPr>
              <w:t>独立学院教学质量和教学效率有关</w:t>
            </w:r>
            <w:r>
              <w:rPr>
                <w:rFonts w:hint="eastAsia" w:ascii="宋体" w:hAnsi="宋体" w:cs="黑体"/>
                <w:b/>
                <w:szCs w:val="21"/>
              </w:rPr>
              <w:t>绩效评价指标体系，明确考评的</w:t>
            </w:r>
            <w:r>
              <w:rPr>
                <w:b/>
                <w:szCs w:val="21"/>
              </w:rPr>
              <w:t>范围</w:t>
            </w:r>
            <w:r>
              <w:rPr>
                <w:rFonts w:hint="eastAsia"/>
                <w:b/>
                <w:szCs w:val="21"/>
              </w:rPr>
              <w:t>、依据、内容及考评结果的应用，</w:t>
            </w:r>
            <w:r>
              <w:rPr>
                <w:rFonts w:hint="eastAsia" w:ascii="宋体" w:hAnsi="宋体"/>
                <w:b/>
                <w:color w:val="000000"/>
                <w:szCs w:val="21"/>
              </w:rPr>
              <w:t>完善教学经费使用的奖罚制度</w:t>
            </w:r>
            <w:r>
              <w:rPr>
                <w:rFonts w:hint="eastAsia" w:ascii="宋体" w:hAnsi="宋体"/>
                <w:color w:val="000000"/>
                <w:szCs w:val="21"/>
              </w:rPr>
              <w:t>，与职务晋升、岗位聘任、教育奖励等挂钩，</w:t>
            </w:r>
            <w:r>
              <w:rPr>
                <w:rFonts w:hint="eastAsia" w:ascii="宋体" w:hAnsi="宋体" w:cs="黑体"/>
                <w:szCs w:val="21"/>
              </w:rPr>
              <w:t>通过绩效评价衡量用于教学、学生的经费到底是多少，效果如何，</w:t>
            </w:r>
            <w:r>
              <w:rPr>
                <w:rFonts w:hint="eastAsia" w:ascii="宋体" w:hAnsi="宋体"/>
                <w:color w:val="000000"/>
                <w:szCs w:val="21"/>
              </w:rPr>
              <w:t>增强经费使用者责任心，提高经费的使用效益等。</w:t>
            </w:r>
          </w:p>
          <w:p>
            <w:pPr>
              <w:ind w:firstLine="411" w:firstLineChars="196"/>
            </w:pPr>
            <w:r>
              <w:rPr>
                <w:rFonts w:hint="eastAsia"/>
              </w:rPr>
              <w:t>重视教学人员经费投入是提高教学质量的关键，但教学工作是由教师来主导完成的，依赖于教师的教学效率。独立学院通过改革分配制度激励教师重视教学，制订一些教学成果、学科竞赛奖励条例。</w:t>
            </w:r>
          </w:p>
          <w:p>
            <w:pPr>
              <w:ind w:firstLine="411" w:firstLineChars="196"/>
              <w:rPr>
                <w:rFonts w:ascii="宋体" w:hAnsi="宋体"/>
                <w:color w:val="000000"/>
                <w:szCs w:val="21"/>
              </w:rPr>
            </w:pPr>
            <w:r>
              <w:rPr>
                <w:rFonts w:hint="eastAsia" w:ascii="宋体" w:hAnsi="宋体"/>
                <w:color w:val="000000"/>
                <w:szCs w:val="21"/>
              </w:rPr>
              <w:t>建立教学经费使用的政府、学校（包括教师、学生）和社会三者联合的监控体系，形成校内教师和学生的监督，校外的政府监督、市场监督的监控体系。建立教学经费使用的责、权、利相统一的经济责任制度等，如《教学业务经费应用情况测评》，增强经费使用的透明度，确保教学业务经费用在人才培养上。教育主管部门加强对独立学院教学经费管理监督检查，并通过绩效评价方式激励高校增加教学经费，提高独立学院教学经费投入与使用的主动性、效益性、长效性。</w:t>
            </w:r>
          </w:p>
          <w:p>
            <w:pPr>
              <w:ind w:firstLine="477" w:firstLineChars="198"/>
              <w:rPr>
                <w:rFonts w:ascii="宋体" w:hAnsi="宋体"/>
                <w:b/>
                <w:sz w:val="24"/>
              </w:rPr>
            </w:pPr>
          </w:p>
          <w:p>
            <w:pPr>
              <w:ind w:firstLine="477" w:firstLineChars="198"/>
              <w:rPr>
                <w:rFonts w:ascii="宋体" w:hAnsi="宋体"/>
                <w:b/>
                <w:color w:val="000000"/>
                <w:sz w:val="24"/>
              </w:rPr>
            </w:pPr>
            <w:r>
              <w:rPr>
                <w:rFonts w:hint="eastAsia" w:ascii="宋体" w:hAnsi="宋体"/>
                <w:b/>
                <w:sz w:val="24"/>
              </w:rPr>
              <w:t xml:space="preserve"> [ </w:t>
            </w:r>
            <w:r>
              <w:rPr>
                <w:rFonts w:hint="eastAsia" w:ascii="宋体" w:hAnsi="宋体"/>
                <w:b/>
                <w:color w:val="000000"/>
                <w:sz w:val="24"/>
              </w:rPr>
              <w:t>拟解决的关键问题 ]</w:t>
            </w:r>
          </w:p>
          <w:p>
            <w:pPr>
              <w:rPr>
                <w:rFonts w:ascii="宋体" w:hAnsi="宋体"/>
                <w:color w:val="FF0000"/>
                <w:szCs w:val="21"/>
              </w:rPr>
            </w:pPr>
            <w:r>
              <w:rPr>
                <w:rFonts w:hint="eastAsia" w:ascii="宋体" w:hAnsi="宋体"/>
                <w:color w:val="000000"/>
                <w:szCs w:val="21"/>
              </w:rPr>
              <w:t>项目研究独立学院教学经费投入运行保障机制的关键点是如何保证经费供给和确保经费使用到人才培养上，最终能够落实到基层教学组织、教师、学生身上。拟解决的关键问题是浙江省独立学院教学经费的保障定额、保障方式、增长比例与科学合理的绩效评价指标等方面的内容。</w:t>
            </w:r>
          </w:p>
          <w:p>
            <w:pPr>
              <w:widowControl/>
              <w:autoSpaceDE/>
              <w:autoSpaceDN/>
              <w:adjustRightInd/>
              <w:spacing w:line="640" w:lineRule="atLeast"/>
              <w:ind w:firstLine="0" w:firstLineChars="0"/>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05" w:hRule="atLeast"/>
        </w:trPr>
        <w:tc>
          <w:tcPr>
            <w:tcW w:w="8568" w:type="dxa"/>
            <w:tcBorders>
              <w:top w:val="single" w:color="000000" w:sz="2" w:space="0"/>
              <w:left w:val="single" w:color="000000" w:sz="2" w:space="0"/>
              <w:bottom w:val="single" w:color="000000" w:sz="2" w:space="0"/>
              <w:right w:val="single" w:color="000000" w:sz="2" w:space="0"/>
            </w:tcBorders>
          </w:tcPr>
          <w:p>
            <w:pPr>
              <w:widowControl/>
              <w:autoSpaceDE/>
              <w:autoSpaceDN/>
              <w:adjustRightInd/>
              <w:spacing w:line="640" w:lineRule="atLeast"/>
              <w:ind w:firstLine="0" w:firstLineChars="0"/>
              <w:textAlignment w:val="baseline"/>
              <w:rPr>
                <w:rFonts w:eastAsia="仿宋_GB2312"/>
                <w:color w:val="000000"/>
                <w:u w:color="000000"/>
              </w:rPr>
            </w:pPr>
            <w:r>
              <w:rPr>
                <w:rFonts w:eastAsia="仿宋_GB2312"/>
                <w:color w:val="000000"/>
                <w:u w:color="000000"/>
              </w:rPr>
              <w:t>2.</w:t>
            </w:r>
            <w:r>
              <w:rPr>
                <w:rFonts w:hint="eastAsia" w:eastAsia="仿宋_GB2312"/>
                <w:color w:val="000000"/>
                <w:u w:color="000000"/>
              </w:rPr>
              <w:t>实施方案、实施方法、具体实施计划（含年度进展情况）及可行性分析</w:t>
            </w:r>
          </w:p>
          <w:p>
            <w:pPr>
              <w:widowControl/>
              <w:autoSpaceDE/>
              <w:autoSpaceDN/>
              <w:adjustRightInd/>
              <w:spacing w:line="640" w:lineRule="atLeast"/>
              <w:ind w:firstLine="0" w:firstLineChars="0"/>
              <w:textAlignment w:val="baseline"/>
              <w:rPr>
                <w:rFonts w:ascii="仿宋" w:hAnsi="仿宋" w:eastAsia="仿宋"/>
                <w:color w:val="333333"/>
              </w:rPr>
            </w:pPr>
            <w:r>
              <w:rPr>
                <w:rFonts w:hint="eastAsia" w:ascii="宋体" w:hAnsi="宋体"/>
                <w:b/>
                <w:sz w:val="24"/>
              </w:rPr>
              <w:t xml:space="preserve">[ </w:t>
            </w:r>
            <w:r>
              <w:rPr>
                <w:rFonts w:hint="eastAsia" w:ascii="宋体" w:hAnsi="宋体"/>
                <w:b/>
                <w:color w:val="000000"/>
                <w:sz w:val="24"/>
              </w:rPr>
              <w:t>实施方案 ]</w:t>
            </w:r>
          </w:p>
          <w:p>
            <w:pPr>
              <w:ind w:firstLine="411" w:firstLineChars="196"/>
            </w:pPr>
            <w:r>
              <w:rPr>
                <w:rFonts w:hint="eastAsia"/>
              </w:rPr>
              <w:t xml:space="preserve">    本研究项目的实施方案包括：准备阶段、理论分析阶段、调查调研阶段、模型分析阶段、成果形成阶段和总结验收阶段。具体见下图：</w:t>
            </w:r>
          </w:p>
          <w:p>
            <w:pPr>
              <w:widowControl/>
              <w:autoSpaceDE/>
              <w:autoSpaceDN/>
              <w:adjustRightInd/>
              <w:spacing w:line="640" w:lineRule="atLeast"/>
              <w:ind w:firstLine="0" w:firstLineChars="0"/>
              <w:textAlignment w:val="baseline"/>
              <w:rPr>
                <w:rFonts w:ascii="宋体" w:hAnsi="宋体"/>
                <w:color w:val="000000"/>
                <w:szCs w:val="21"/>
              </w:rPr>
            </w:pPr>
            <w:r>
              <w:rPr>
                <w:rFonts w:ascii="仿宋" w:hAnsi="仿宋" w:eastAsia="仿宋"/>
                <w:color w:val="333333"/>
              </w:rPr>
              <w:pict>
                <v:rect id="_x0000_s1030" o:spid="_x0000_s1030" o:spt="1" style="position:absolute;left:0pt;margin-left:59.25pt;margin-top:8.85pt;height:33.5pt;width:347.5pt;z-index:251660288;mso-width-relative:page;mso-height-relative:page;" coordsize="21600,21600">
                  <v:path/>
                  <v:fill focussize="0,0"/>
                  <v:stroke/>
                  <v:imagedata o:title=""/>
                  <o:lock v:ext="edit"/>
                  <v:textbox>
                    <w:txbxContent>
                      <w:p>
                        <w:pPr>
                          <w:ind w:firstLine="0" w:firstLineChars="0"/>
                          <w:jc w:val="center"/>
                        </w:pPr>
                        <w:r>
                          <w:rPr>
                            <w:rFonts w:hint="eastAsia"/>
                            <w:color w:val="000000"/>
                            <w:u w:color="000000"/>
                          </w:rPr>
                          <w:t>研究项目：浙江省独立学院教学经费投入运行保障机制的研究</w:t>
                        </w:r>
                      </w:p>
                    </w:txbxContent>
                  </v:textbox>
                </v:rect>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shape id="_x0000_s1048" o:spid="_x0000_s1048" o:spt="32" type="#_x0000_t32" style="position:absolute;left:0pt;margin-left:295.25pt;margin-top:10.35pt;height:25pt;width:0pt;z-index:251678720;mso-width-relative:page;mso-height-relative:page;" o:connectortype="straight" filled="f" coordsize="21600,21600">
                  <v:path arrowok="t"/>
                  <v:fill on="f" focussize="0,0"/>
                  <v:stroke endarrow="block"/>
                  <v:imagedata o:title=""/>
                  <o:lock v:ext="edit"/>
                </v:shape>
              </w:pict>
            </w:r>
            <w:r>
              <w:rPr>
                <w:rFonts w:ascii="宋体" w:hAnsi="宋体"/>
                <w:color w:val="000000"/>
                <w:szCs w:val="21"/>
              </w:rPr>
              <w:pict>
                <v:shape id="_x0000_s1037" o:spid="_x0000_s1037" o:spt="32" type="#_x0000_t32" style="position:absolute;left:0pt;margin-left:101.75pt;margin-top:10.35pt;height:25pt;width:0pt;z-index:251667456;mso-width-relative:page;mso-height-relative:page;" o:connectortype="straight" filled="f" coordsize="21600,21600">
                  <v:path arrowok="t"/>
                  <v:fill on="f" focussize="0,0"/>
                  <v:stroke endarrow="block"/>
                  <v:imagedata o:title=""/>
                  <o:lock v:ext="edit"/>
                </v:shape>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shape id="_x0000_s1061" o:spid="_x0000_s1061" o:spt="32" type="#_x0000_t32" style="position:absolute;left:0pt;margin-left:295.25pt;margin-top:31.35pt;height:25pt;width:0pt;z-index:251691008;mso-width-relative:page;mso-height-relative:page;" o:connectortype="straight" filled="f" coordsize="21600,21600">
                  <v:path arrowok="t"/>
                  <v:fill on="f" focussize="0,0"/>
                  <v:stroke endarrow="block"/>
                  <v:imagedata o:title=""/>
                  <o:lock v:ext="edit"/>
                </v:shape>
              </w:pict>
            </w:r>
            <w:r>
              <w:rPr>
                <w:rFonts w:eastAsia="仿宋_GB2312"/>
                <w:color w:val="000000"/>
                <w:u w:color="000000"/>
              </w:rPr>
              <w:pict>
                <v:rect id="_x0000_s1036" o:spid="_x0000_s1036" o:spt="1" style="position:absolute;left:0pt;margin-left:189.25pt;margin-top:3.35pt;height:28.5pt;width:217.5pt;z-index:251666432;mso-width-relative:page;mso-height-relative:page;" coordsize="21600,21600">
                  <v:path/>
                  <v:fill focussize="0,0"/>
                  <v:stroke/>
                  <v:imagedata o:title=""/>
                  <o:lock v:ext="edit"/>
                  <v:textbox>
                    <w:txbxContent>
                      <w:p>
                        <w:pPr>
                          <w:ind w:firstLine="0" w:firstLineChars="0"/>
                        </w:pPr>
                        <w:r>
                          <w:rPr>
                            <w:rFonts w:hint="eastAsia"/>
                          </w:rPr>
                          <w:t>进一步搜索相关文献、明确研究背景意义</w:t>
                        </w:r>
                      </w:p>
                    </w:txbxContent>
                  </v:textbox>
                </v:rect>
              </w:pict>
            </w:r>
            <w:r>
              <w:rPr>
                <w:rFonts w:ascii="仿宋" w:hAnsi="仿宋" w:eastAsia="仿宋"/>
                <w:color w:val="333333"/>
              </w:rPr>
              <w:pict>
                <v:shape id="_x0000_s1049" o:spid="_x0000_s1049" o:spt="13" type="#_x0000_t13" style="position:absolute;left:0pt;margin-left:142.75pt;margin-top:14.85pt;height:7.15pt;width:46.5pt;z-index:251679744;mso-width-relative:page;mso-height-relative:page;" coordsize="21600,21600">
                  <v:path/>
                  <v:fill focussize="0,0"/>
                  <v:stroke joinstyle="miter"/>
                  <v:imagedata o:title=""/>
                  <o:lock v:ext="edit"/>
                </v:shape>
              </w:pict>
            </w:r>
            <w:r>
              <w:rPr>
                <w:rFonts w:ascii="仿宋" w:hAnsi="仿宋" w:eastAsia="仿宋"/>
                <w:color w:val="333333"/>
              </w:rPr>
              <w:pict>
                <v:rect id="_x0000_s1026" o:spid="_x0000_s1026" o:spt="1" style="position:absolute;left:0pt;margin-left:59.25pt;margin-top:3.35pt;height:28.5pt;width:83.5pt;z-index:251658240;mso-width-relative:page;mso-height-relative:page;" coordsize="21600,21600">
                  <v:path/>
                  <v:fill focussize="0,0"/>
                  <v:stroke/>
                  <v:imagedata o:title=""/>
                  <o:lock v:ext="edit"/>
                  <v:textbox>
                    <w:txbxContent>
                      <w:p>
                        <w:pPr>
                          <w:ind w:firstLine="0" w:firstLineChars="0"/>
                          <w:jc w:val="center"/>
                        </w:pPr>
                        <w:r>
                          <w:rPr>
                            <w:rFonts w:hint="eastAsia"/>
                          </w:rPr>
                          <w:t>准备阶段</w:t>
                        </w:r>
                      </w:p>
                    </w:txbxContent>
                  </v:textbox>
                </v:rect>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rect id="_x0000_s1050" o:spid="_x0000_s1050" o:spt="1" style="position:absolute;left:0pt;margin-left:185.75pt;margin-top:25.35pt;height:28.5pt;width:217.5pt;z-index:251680768;mso-width-relative:page;mso-height-relative:page;" coordsize="21600,21600">
                  <v:path/>
                  <v:fill focussize="0,0"/>
                  <v:stroke/>
                  <v:imagedata o:title=""/>
                  <o:lock v:ext="edit"/>
                  <v:textbox inset="0.5mm,1.27mm,0.5mm,1.27mm">
                    <w:txbxContent>
                      <w:p>
                        <w:pPr>
                          <w:ind w:firstLine="0" w:firstLineChars="0"/>
                        </w:pPr>
                        <w:r>
                          <w:rPr>
                            <w:rFonts w:hint="eastAsia"/>
                          </w:rPr>
                          <w:t>资源配置理论、教育管理理论、财务管理理论</w:t>
                        </w:r>
                      </w:p>
                    </w:txbxContent>
                  </v:textbox>
                </v:rect>
              </w:pict>
            </w:r>
            <w:r>
              <w:rPr>
                <w:rFonts w:eastAsia="仿宋_GB2312"/>
                <w:color w:val="000000"/>
                <w:u w:color="000000"/>
              </w:rPr>
              <w:pict>
                <v:shape id="_x0000_s1043" o:spid="_x0000_s1043" o:spt="32" type="#_x0000_t32" style="position:absolute;left:0pt;margin-left:97.75pt;margin-top:0.35pt;height:25pt;width:0pt;z-index:251673600;mso-width-relative:page;mso-height-relative:page;" o:connectortype="straight" filled="f" coordsize="21600,21600">
                  <v:path arrowok="t"/>
                  <v:fill on="f" focussize="0,0"/>
                  <v:stroke endarrow="block"/>
                  <v:imagedata o:title=""/>
                  <o:lock v:ext="edit"/>
                </v:shape>
              </w:pict>
            </w:r>
            <w:r>
              <w:rPr>
                <w:rFonts w:eastAsia="仿宋_GB2312"/>
                <w:color w:val="000000"/>
                <w:u w:color="000000"/>
              </w:rPr>
              <w:pict>
                <v:rect id="_x0000_s1038" o:spid="_x0000_s1038" o:spt="1" style="position:absolute;left:0pt;margin-left:55.75pt;margin-top:25.35pt;height:28.5pt;width:83.5pt;z-index:251668480;mso-width-relative:page;mso-height-relative:page;" coordsize="21600,21600">
                  <v:path/>
                  <v:fill focussize="0,0"/>
                  <v:stroke/>
                  <v:imagedata o:title=""/>
                  <o:lock v:ext="edit"/>
                  <v:textbox>
                    <w:txbxContent>
                      <w:p>
                        <w:pPr>
                          <w:ind w:firstLine="0" w:firstLineChars="0"/>
                          <w:jc w:val="center"/>
                        </w:pPr>
                        <w:r>
                          <w:rPr>
                            <w:rFonts w:hint="eastAsia" w:ascii="宋体" w:hAnsi="宋体"/>
                            <w:color w:val="000000"/>
                            <w:szCs w:val="21"/>
                          </w:rPr>
                          <w:t>理论分析</w:t>
                        </w:r>
                        <w:r>
                          <w:rPr>
                            <w:rFonts w:hint="eastAsia"/>
                          </w:rPr>
                          <w:t>阶段</w:t>
                        </w:r>
                      </w:p>
                    </w:txbxContent>
                  </v:textbox>
                </v:rect>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shape id="_x0000_s1062" o:spid="_x0000_s1062" o:spt="32" type="#_x0000_t32" style="position:absolute;left:0pt;margin-left:295.25pt;margin-top:21.85pt;height:25pt;width:0pt;z-index:251692032;mso-width-relative:page;mso-height-relative:page;" o:connectortype="straight" filled="f" coordsize="21600,21600">
                  <v:path arrowok="t"/>
                  <v:fill on="f" focussize="0,0"/>
                  <v:stroke endarrow="block"/>
                  <v:imagedata o:title=""/>
                  <o:lock v:ext="edit"/>
                </v:shape>
              </w:pict>
            </w:r>
            <w:r>
              <w:rPr>
                <w:rFonts w:eastAsia="仿宋_GB2312"/>
                <w:color w:val="000000"/>
                <w:u w:color="000000"/>
              </w:rPr>
              <w:pict>
                <v:shape id="_x0000_s1054" o:spid="_x0000_s1054" o:spt="13" type="#_x0000_t13" style="position:absolute;left:0pt;margin-left:139.25pt;margin-top:6pt;height:7.15pt;width:46.5pt;z-index:251684864;mso-width-relative:page;mso-height-relative:page;" coordsize="21600,21600">
                  <v:path/>
                  <v:fill focussize="0,0"/>
                  <v:stroke joinstyle="miter"/>
                  <v:imagedata o:title=""/>
                  <o:lock v:ext="edit"/>
                </v:shape>
              </w:pict>
            </w:r>
            <w:r>
              <w:rPr>
                <w:rFonts w:eastAsia="仿宋_GB2312"/>
                <w:color w:val="000000"/>
                <w:u w:color="000000"/>
              </w:rPr>
              <w:pict>
                <v:shape id="_x0000_s1044" o:spid="_x0000_s1044" o:spt="32" type="#_x0000_t32" style="position:absolute;left:0pt;margin-left:97.75pt;margin-top:21.85pt;height:25pt;width:0pt;z-index:251674624;mso-width-relative:page;mso-height-relative:page;" o:connectortype="straight" filled="f" coordsize="21600,21600">
                  <v:path arrowok="t"/>
                  <v:fill on="f" focussize="0,0"/>
                  <v:stroke endarrow="block"/>
                  <v:imagedata o:title=""/>
                  <o:lock v:ext="edit"/>
                </v:shape>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rect id="_x0000_s1051" o:spid="_x0000_s1051" o:spt="1" style="position:absolute;left:0pt;margin-left:185.75pt;margin-top:14.85pt;height:28.5pt;width:217.5pt;z-index:251681792;mso-width-relative:page;mso-height-relative:page;" coordsize="21600,21600">
                  <v:path/>
                  <v:fill focussize="0,0"/>
                  <v:stroke/>
                  <v:imagedata o:title=""/>
                  <o:lock v:ext="edit"/>
                  <v:textbox>
                    <w:txbxContent>
                      <w:p>
                        <w:pPr>
                          <w:ind w:firstLine="0" w:firstLineChars="0"/>
                        </w:pPr>
                        <w:r>
                          <w:rPr>
                            <w:rFonts w:hint="eastAsia"/>
                          </w:rPr>
                          <w:t xml:space="preserve">省内、省外独立学院问卷调查、实地调研等 </w:t>
                        </w:r>
                      </w:p>
                    </w:txbxContent>
                  </v:textbox>
                </v:rect>
              </w:pict>
            </w:r>
            <w:r>
              <w:rPr>
                <w:rFonts w:eastAsia="仿宋_GB2312"/>
                <w:color w:val="000000"/>
                <w:u w:color="000000"/>
              </w:rPr>
              <w:pict>
                <v:shape id="_x0000_s1055" o:spid="_x0000_s1055" o:spt="13" type="#_x0000_t13" style="position:absolute;left:0pt;margin-left:139.25pt;margin-top:24.85pt;height:7.15pt;width:46.5pt;z-index:251685888;mso-width-relative:page;mso-height-relative:page;" coordsize="21600,21600">
                  <v:path/>
                  <v:fill focussize="0,0"/>
                  <v:stroke joinstyle="miter"/>
                  <v:imagedata o:title=""/>
                  <o:lock v:ext="edit"/>
                </v:shape>
              </w:pict>
            </w:r>
            <w:r>
              <w:rPr>
                <w:rFonts w:eastAsia="仿宋_GB2312"/>
                <w:color w:val="000000"/>
                <w:u w:color="000000"/>
              </w:rPr>
              <w:pict>
                <v:rect id="_x0000_s1039" o:spid="_x0000_s1039" o:spt="1" style="position:absolute;left:0pt;margin-left:55.75pt;margin-top:14.85pt;height:28.5pt;width:83.5pt;z-index:251669504;mso-width-relative:page;mso-height-relative:page;" coordsize="21600,21600">
                  <v:path/>
                  <v:fill focussize="0,0"/>
                  <v:stroke/>
                  <v:imagedata o:title=""/>
                  <o:lock v:ext="edit"/>
                  <v:textbox>
                    <w:txbxContent>
                      <w:p>
                        <w:pPr>
                          <w:ind w:firstLine="0" w:firstLineChars="0"/>
                          <w:jc w:val="center"/>
                        </w:pPr>
                        <w:r>
                          <w:rPr>
                            <w:rFonts w:hint="eastAsia" w:ascii="宋体" w:hAnsi="宋体"/>
                            <w:color w:val="000000"/>
                            <w:szCs w:val="21"/>
                          </w:rPr>
                          <w:t>调查调研</w:t>
                        </w:r>
                        <w:r>
                          <w:rPr>
                            <w:rFonts w:hint="eastAsia"/>
                          </w:rPr>
                          <w:t>阶段</w:t>
                        </w:r>
                      </w:p>
                    </w:txbxContent>
                  </v:textbox>
                </v:rect>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shape id="_x0000_s1063" o:spid="_x0000_s1063" o:spt="32" type="#_x0000_t32" style="position:absolute;left:0pt;margin-left:295.25pt;margin-top:11.35pt;height:25pt;width:0pt;z-index:251693056;mso-width-relative:page;mso-height-relative:page;" o:connectortype="straight" filled="f" coordsize="21600,21600">
                  <v:path arrowok="t"/>
                  <v:fill on="f" focussize="0,0"/>
                  <v:stroke endarrow="block"/>
                  <v:imagedata o:title=""/>
                  <o:lock v:ext="edit"/>
                </v:shape>
              </w:pict>
            </w:r>
            <w:r>
              <w:rPr>
                <w:rFonts w:eastAsia="仿宋_GB2312"/>
                <w:color w:val="000000"/>
                <w:u w:color="000000"/>
              </w:rPr>
              <w:pict>
                <v:shape id="_x0000_s1045" o:spid="_x0000_s1045" o:spt="32" type="#_x0000_t32" style="position:absolute;left:0pt;margin-left:97.75pt;margin-top:11.35pt;height:25pt;width:0pt;z-index:251675648;mso-width-relative:page;mso-height-relative:page;" o:connectortype="straight" filled="f" coordsize="21600,21600">
                  <v:path arrowok="t"/>
                  <v:fill on="f" focussize="0,0"/>
                  <v:stroke endarrow="block"/>
                  <v:imagedata o:title=""/>
                  <o:lock v:ext="edit"/>
                </v:shape>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rect id="_x0000_s1052" o:spid="_x0000_s1052" o:spt="1" style="position:absolute;left:0pt;margin-left:185.75pt;margin-top:4.35pt;height:28.5pt;width:217.5pt;z-index:251682816;mso-width-relative:page;mso-height-relative:page;" coordsize="21600,21600">
                  <v:path/>
                  <v:fill focussize="0,0"/>
                  <v:stroke/>
                  <v:imagedata o:title=""/>
                  <o:lock v:ext="edit"/>
                  <v:textbox>
                    <w:txbxContent>
                      <w:p>
                        <w:pPr>
                          <w:ind w:firstLine="0" w:firstLineChars="0"/>
                        </w:pPr>
                        <w:r>
                          <w:rPr>
                            <w:rFonts w:hint="eastAsia"/>
                          </w:rPr>
                          <w:t>范围、结构、科目、定额、标准、指标分析</w:t>
                        </w:r>
                      </w:p>
                    </w:txbxContent>
                  </v:textbox>
                </v:rect>
              </w:pict>
            </w:r>
            <w:r>
              <w:rPr>
                <w:rFonts w:eastAsia="仿宋_GB2312"/>
                <w:color w:val="000000"/>
                <w:u w:color="000000"/>
              </w:rPr>
              <w:pict>
                <v:shape id="_x0000_s1056" o:spid="_x0000_s1056" o:spt="13" type="#_x0000_t13" style="position:absolute;left:0pt;margin-left:139.25pt;margin-top:14.35pt;height:7.15pt;width:46.5pt;z-index:251686912;mso-width-relative:page;mso-height-relative:page;" coordsize="21600,21600">
                  <v:path/>
                  <v:fill focussize="0,0"/>
                  <v:stroke joinstyle="miter"/>
                  <v:imagedata o:title=""/>
                  <o:lock v:ext="edit"/>
                </v:shape>
              </w:pict>
            </w:r>
            <w:r>
              <w:rPr>
                <w:rFonts w:eastAsia="仿宋_GB2312"/>
                <w:color w:val="000000"/>
                <w:u w:color="000000"/>
              </w:rPr>
              <w:pict>
                <v:rect id="_x0000_s1040" o:spid="_x0000_s1040" o:spt="1" style="position:absolute;left:0pt;margin-left:55.75pt;margin-top:4.35pt;height:28.5pt;width:83.5pt;z-index:251670528;mso-width-relative:page;mso-height-relative:page;" coordsize="21600,21600">
                  <v:path/>
                  <v:fill focussize="0,0"/>
                  <v:stroke/>
                  <v:imagedata o:title=""/>
                  <o:lock v:ext="edit"/>
                  <v:textbox>
                    <w:txbxContent>
                      <w:p>
                        <w:pPr>
                          <w:ind w:firstLine="0" w:firstLineChars="0"/>
                          <w:jc w:val="center"/>
                        </w:pPr>
                        <w:r>
                          <w:rPr>
                            <w:rFonts w:hint="eastAsia" w:ascii="宋体" w:hAnsi="宋体"/>
                            <w:color w:val="000000"/>
                            <w:szCs w:val="21"/>
                          </w:rPr>
                          <w:t>模型分析</w:t>
                        </w:r>
                        <w:r>
                          <w:rPr>
                            <w:rFonts w:hint="eastAsia"/>
                          </w:rPr>
                          <w:t>阶段</w:t>
                        </w:r>
                      </w:p>
                    </w:txbxContent>
                  </v:textbox>
                </v:rect>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rect id="_x0000_s1053" o:spid="_x0000_s1053" o:spt="1" style="position:absolute;left:0pt;margin-left:185.75pt;margin-top:25.85pt;height:28.5pt;width:217.5pt;z-index:251683840;mso-width-relative:page;mso-height-relative:page;" coordsize="21600,21600">
                  <v:path/>
                  <v:fill focussize="0,0"/>
                  <v:stroke/>
                  <v:imagedata o:title=""/>
                  <o:lock v:ext="edit"/>
                  <v:textbox>
                    <w:txbxContent>
                      <w:p>
                        <w:pPr>
                          <w:ind w:firstLine="0" w:firstLineChars="0"/>
                        </w:pPr>
                        <w:r>
                          <w:rPr>
                            <w:rFonts w:hint="eastAsia"/>
                          </w:rPr>
                          <w:t>形成政策建议、管理制度、撰写研究论文等</w:t>
                        </w:r>
                      </w:p>
                    </w:txbxContent>
                  </v:textbox>
                </v:rect>
              </w:pict>
            </w:r>
            <w:r>
              <w:rPr>
                <w:rFonts w:eastAsia="仿宋_GB2312"/>
                <w:color w:val="000000"/>
                <w:u w:color="000000"/>
              </w:rPr>
              <w:pict>
                <v:shape id="_x0000_s1064" o:spid="_x0000_s1064" o:spt="32" type="#_x0000_t32" style="position:absolute;left:0pt;margin-left:295.25pt;margin-top:0.85pt;height:25pt;width:0pt;z-index:251694080;mso-width-relative:page;mso-height-relative:page;" o:connectortype="straight" filled="f" coordsize="21600,21600">
                  <v:path arrowok="t"/>
                  <v:fill on="f" focussize="0,0"/>
                  <v:stroke endarrow="block"/>
                  <v:imagedata o:title=""/>
                  <o:lock v:ext="edit"/>
                </v:shape>
              </w:pict>
            </w:r>
            <w:r>
              <w:rPr>
                <w:rFonts w:eastAsia="仿宋_GB2312"/>
                <w:color w:val="000000"/>
                <w:u w:color="000000"/>
              </w:rPr>
              <w:pict>
                <v:shape id="_x0000_s1046" o:spid="_x0000_s1046" o:spt="32" type="#_x0000_t32" style="position:absolute;left:0pt;margin-left:97.75pt;margin-top:0.85pt;height:25pt;width:0pt;z-index:251676672;mso-width-relative:page;mso-height-relative:page;" o:connectortype="straight" filled="f" coordsize="21600,21600">
                  <v:path arrowok="t"/>
                  <v:fill on="f" focussize="0,0"/>
                  <v:stroke endarrow="block"/>
                  <v:imagedata o:title=""/>
                  <o:lock v:ext="edit"/>
                </v:shape>
              </w:pict>
            </w:r>
            <w:r>
              <w:rPr>
                <w:rFonts w:eastAsia="仿宋_GB2312"/>
                <w:color w:val="000000"/>
                <w:u w:color="000000"/>
              </w:rPr>
              <w:pict>
                <v:rect id="_x0000_s1041" o:spid="_x0000_s1041" o:spt="1" style="position:absolute;left:0pt;margin-left:55.75pt;margin-top:25.85pt;height:28.5pt;width:83.5pt;z-index:251671552;mso-width-relative:page;mso-height-relative:page;" coordsize="21600,21600">
                  <v:path/>
                  <v:fill focussize="0,0"/>
                  <v:stroke/>
                  <v:imagedata o:title=""/>
                  <o:lock v:ext="edit"/>
                  <v:textbox>
                    <w:txbxContent>
                      <w:p>
                        <w:pPr>
                          <w:ind w:firstLine="0" w:firstLineChars="0"/>
                          <w:jc w:val="center"/>
                        </w:pPr>
                        <w:r>
                          <w:rPr>
                            <w:rFonts w:hint="eastAsia" w:ascii="宋体" w:hAnsi="宋体"/>
                            <w:color w:val="000000"/>
                            <w:szCs w:val="21"/>
                          </w:rPr>
                          <w:t>成果形成</w:t>
                        </w:r>
                        <w:r>
                          <w:rPr>
                            <w:rFonts w:hint="eastAsia"/>
                          </w:rPr>
                          <w:t>阶段</w:t>
                        </w:r>
                      </w:p>
                    </w:txbxContent>
                  </v:textbox>
                </v:rect>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shape id="_x0000_s1065" o:spid="_x0000_s1065" o:spt="32" type="#_x0000_t32" style="position:absolute;left:0pt;margin-left:295.25pt;margin-top:22.35pt;height:25pt;width:0pt;z-index:251695104;mso-width-relative:page;mso-height-relative:page;" o:connectortype="straight" filled="f" coordsize="21600,21600">
                  <v:path arrowok="t"/>
                  <v:fill on="f" focussize="0,0"/>
                  <v:stroke endarrow="block"/>
                  <v:imagedata o:title=""/>
                  <o:lock v:ext="edit"/>
                </v:shape>
              </w:pict>
            </w:r>
            <w:r>
              <w:rPr>
                <w:rFonts w:eastAsia="仿宋_GB2312"/>
                <w:color w:val="000000"/>
                <w:u w:color="000000"/>
              </w:rPr>
              <w:pict>
                <v:shape id="_x0000_s1057" o:spid="_x0000_s1057" o:spt="13" type="#_x0000_t13" style="position:absolute;left:0pt;margin-left:139.25pt;margin-top:6.85pt;height:7.15pt;width:46.5pt;z-index:251687936;mso-width-relative:page;mso-height-relative:page;" coordsize="21600,21600">
                  <v:path/>
                  <v:fill focussize="0,0"/>
                  <v:stroke joinstyle="miter"/>
                  <v:imagedata o:title=""/>
                  <o:lock v:ext="edit"/>
                </v:shape>
              </w:pict>
            </w:r>
            <w:r>
              <w:rPr>
                <w:rFonts w:eastAsia="仿宋_GB2312"/>
                <w:color w:val="000000"/>
                <w:u w:color="000000"/>
              </w:rPr>
              <w:pict>
                <v:shape id="_x0000_s1047" o:spid="_x0000_s1047" o:spt="32" type="#_x0000_t32" style="position:absolute;left:0pt;margin-left:97.75pt;margin-top:22.35pt;height:25pt;width:0pt;z-index:251677696;mso-width-relative:page;mso-height-relative:page;" o:connectortype="straight" filled="f" coordsize="21600,21600">
                  <v:path arrowok="t"/>
                  <v:fill on="f" focussize="0,0"/>
                  <v:stroke endarrow="block"/>
                  <v:imagedata o:title=""/>
                  <o:lock v:ext="edit"/>
                </v:shape>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rect id="_x0000_s1060" o:spid="_x0000_s1060" o:spt="1" style="position:absolute;left:0pt;margin-left:185.75pt;margin-top:15.35pt;height:28.5pt;width:217.5pt;z-index:251689984;mso-width-relative:page;mso-height-relative:page;" coordsize="21600,21600">
                  <v:path/>
                  <v:fill focussize="0,0"/>
                  <v:stroke/>
                  <v:imagedata o:title=""/>
                  <o:lock v:ext="edit"/>
                  <v:textbox>
                    <w:txbxContent>
                      <w:p>
                        <w:pPr>
                          <w:ind w:firstLine="0" w:firstLineChars="0"/>
                        </w:pPr>
                        <w:r>
                          <w:rPr>
                            <w:rFonts w:hint="eastAsia"/>
                          </w:rPr>
                          <w:t>发表论文、形成研究报告、项目提交验收等</w:t>
                        </w:r>
                      </w:p>
                    </w:txbxContent>
                  </v:textbox>
                </v:rect>
              </w:pict>
            </w:r>
            <w:r>
              <w:rPr>
                <w:rFonts w:eastAsia="仿宋_GB2312"/>
                <w:color w:val="000000"/>
                <w:u w:color="000000"/>
              </w:rPr>
              <w:pict>
                <v:shape id="_x0000_s1059" o:spid="_x0000_s1059" o:spt="13" type="#_x0000_t13" style="position:absolute;left:0pt;margin-left:139.25pt;margin-top:25.85pt;height:7.15pt;width:46.5pt;z-index:251688960;mso-width-relative:page;mso-height-relative:page;" coordsize="21600,21600">
                  <v:path/>
                  <v:fill focussize="0,0"/>
                  <v:stroke joinstyle="miter"/>
                  <v:imagedata o:title=""/>
                  <o:lock v:ext="edit"/>
                </v:shape>
              </w:pict>
            </w:r>
            <w:r>
              <w:rPr>
                <w:rFonts w:eastAsia="仿宋_GB2312"/>
                <w:color w:val="000000"/>
                <w:u w:color="000000"/>
              </w:rPr>
              <w:pict>
                <v:rect id="_x0000_s1042" o:spid="_x0000_s1042" o:spt="1" style="position:absolute;left:0pt;margin-left:55.75pt;margin-top:15.35pt;height:28.5pt;width:83.5pt;z-index:251672576;mso-width-relative:page;mso-height-relative:page;" coordsize="21600,21600">
                  <v:path/>
                  <v:fill focussize="0,0"/>
                  <v:stroke/>
                  <v:imagedata o:title=""/>
                  <o:lock v:ext="edit"/>
                  <v:textbox>
                    <w:txbxContent>
                      <w:p>
                        <w:pPr>
                          <w:ind w:firstLine="0" w:firstLineChars="0"/>
                          <w:jc w:val="center"/>
                        </w:pPr>
                        <w:r>
                          <w:rPr>
                            <w:rFonts w:hint="eastAsia" w:ascii="宋体" w:hAnsi="宋体"/>
                            <w:color w:val="000000"/>
                            <w:szCs w:val="21"/>
                          </w:rPr>
                          <w:t>总结验收</w:t>
                        </w:r>
                        <w:r>
                          <w:rPr>
                            <w:rFonts w:hint="eastAsia"/>
                          </w:rPr>
                          <w:t>阶段</w:t>
                        </w:r>
                      </w:p>
                    </w:txbxContent>
                  </v:textbox>
                </v:rect>
              </w:pict>
            </w:r>
          </w:p>
          <w:p>
            <w:pPr>
              <w:widowControl/>
              <w:autoSpaceDE/>
              <w:autoSpaceDN/>
              <w:adjustRightInd/>
              <w:spacing w:line="640" w:lineRule="atLeast"/>
              <w:ind w:firstLine="0" w:firstLineChars="0"/>
              <w:textAlignment w:val="baseline"/>
              <w:rPr>
                <w:rFonts w:ascii="仿宋" w:hAnsi="仿宋" w:eastAsia="仿宋"/>
                <w:color w:val="333333"/>
              </w:rPr>
            </w:pPr>
            <w:r>
              <w:rPr>
                <w:rFonts w:hint="eastAsia" w:ascii="宋体" w:hAnsi="宋体"/>
                <w:b/>
                <w:sz w:val="24"/>
              </w:rPr>
              <w:t xml:space="preserve">[ </w:t>
            </w:r>
            <w:r>
              <w:rPr>
                <w:rFonts w:hint="eastAsia" w:ascii="宋体" w:hAnsi="宋体"/>
                <w:b/>
                <w:color w:val="000000"/>
                <w:sz w:val="24"/>
              </w:rPr>
              <w:t>实施方法 ]</w:t>
            </w:r>
          </w:p>
          <w:p>
            <w:pPr>
              <w:ind w:firstLine="411" w:firstLineChars="196"/>
            </w:pPr>
            <w:r>
              <w:rPr>
                <w:rFonts w:hint="eastAsia"/>
              </w:rPr>
              <w:t xml:space="preserve">    本研究项目的项目负责人负责整个项目的设计、统筹和实施，项目组成员在项目负责人的统一组织和协调下分工合作，进行项目的实施和研究工作，包括问卷调查和实地调研以及实地调研过程中和相关政府部门（教育主管部门、财政部门、物价部门）的沟通协调、实例资料的搜集、以及政策建议。本研究项目在研究过程中将设置四个研究方向：</w:t>
            </w:r>
          </w:p>
          <w:p>
            <w:pPr>
              <w:ind w:firstLine="411" w:firstLineChars="196"/>
            </w:pPr>
            <w:r>
              <w:rPr>
                <w:rFonts w:hint="eastAsia"/>
              </w:rPr>
              <w:t>研究方向之一：独立学院教学经费投入的量化机制</w:t>
            </w:r>
          </w:p>
          <w:p>
            <w:pPr>
              <w:ind w:firstLine="411" w:firstLineChars="196"/>
            </w:pPr>
            <w:r>
              <w:rPr>
                <w:rFonts w:hint="eastAsia"/>
              </w:rPr>
              <w:t>研究方向之二：独立学院教学经费财务预算的长效机制</w:t>
            </w:r>
          </w:p>
          <w:p>
            <w:pPr>
              <w:ind w:firstLine="411" w:firstLineChars="196"/>
            </w:pPr>
            <w:r>
              <w:rPr>
                <w:rFonts w:hint="eastAsia"/>
              </w:rPr>
              <w:t>研究方向之三：独立学院教学经费使用上的运行机制</w:t>
            </w:r>
          </w:p>
          <w:p>
            <w:pPr>
              <w:ind w:firstLine="411" w:firstLineChars="196"/>
            </w:pPr>
            <w:r>
              <w:rPr>
                <w:rFonts w:hint="eastAsia"/>
              </w:rPr>
              <w:t>研究方向之四：教学经费使用上的绩效评价与监督机制</w:t>
            </w:r>
          </w:p>
          <w:p>
            <w:pPr>
              <w:widowControl/>
              <w:autoSpaceDE/>
              <w:autoSpaceDN/>
              <w:adjustRightInd/>
              <w:spacing w:line="640" w:lineRule="atLeast"/>
              <w:ind w:firstLine="0" w:firstLineChars="0"/>
              <w:textAlignment w:val="baseline"/>
              <w:rPr>
                <w:rFonts w:ascii="仿宋" w:hAnsi="仿宋" w:eastAsia="仿宋"/>
                <w:color w:val="333333"/>
              </w:rPr>
            </w:pPr>
            <w:r>
              <w:rPr>
                <w:rFonts w:hint="eastAsia" w:ascii="宋体" w:hAnsi="宋体"/>
                <w:b/>
                <w:sz w:val="24"/>
              </w:rPr>
              <w:t xml:space="preserve">[ </w:t>
            </w:r>
            <w:r>
              <w:rPr>
                <w:rFonts w:hint="eastAsia" w:ascii="宋体" w:hAnsi="宋体"/>
                <w:b/>
                <w:color w:val="000000"/>
                <w:sz w:val="24"/>
              </w:rPr>
              <w:t>具体实施计划 ]</w:t>
            </w:r>
          </w:p>
          <w:p>
            <w:r>
              <w:rPr>
                <w:rFonts w:hint="eastAsia"/>
              </w:rPr>
              <w:t>2018年8月至9月：主要进行项目研究前期的准备工作，组织项目组成员进一步搜索相关文献、明确研究背景意义，利用学校图书资料、网络资源文献进行调研，在初步的文献研究和实地调研的基础上，完成申报报告，召开开题会。</w:t>
            </w:r>
          </w:p>
          <w:p>
            <w:pPr>
              <w:ind w:firstLine="411" w:firstLineChars="196"/>
            </w:pPr>
            <w:r>
              <w:rPr>
                <w:rFonts w:hint="eastAsia"/>
              </w:rPr>
              <w:t>2018年10月至2019年1月：项目组成员学习资源配置理论、教育管理理论（高等教育学、管理学）、财务管理的基本理论和重要的教育教学政策规定、学术论著在文献归纳、大量调研的基础上，汇总资料，完成相关的基本理论与文献调研分析报告。</w:t>
            </w:r>
          </w:p>
          <w:p>
            <w:pPr>
              <w:ind w:firstLine="411" w:firstLineChars="196"/>
            </w:pPr>
            <w:r>
              <w:rPr>
                <w:rFonts w:hint="eastAsia"/>
              </w:rPr>
              <w:t>2019年2月至6月：赴省内政府主管部门（教育主管部门、财政部门、物价部门）、独立学院等地调研，选择省内及广东、北京、上海、四川等若干所独立学院作重点对比剖析，完成相关的调研分析报告。项目组成员交流、汇报阶段性研究成果，对我省独立学院教学经费管理的现状、利弊进行分析，撰写分项目研究报告，向物价部门提出收费建议意见。</w:t>
            </w:r>
          </w:p>
          <w:p>
            <w:pPr>
              <w:ind w:firstLine="411" w:firstLineChars="196"/>
            </w:pPr>
            <w:r>
              <w:rPr>
                <w:rFonts w:hint="eastAsia"/>
              </w:rPr>
              <w:t>2019年7月至12月：确立浙江省独立教学经费投入、预算、使用及监督评价分工研究。开展基于教学绩效的经费拨款指标、统计口径等方面的理论研究，提出各类指标、定额，设计相关制度，这是本课题研究的难点，也是研究特色之所在；完成研究报告初稿、撰写研究论文。</w:t>
            </w:r>
          </w:p>
          <w:p>
            <w:pPr>
              <w:ind w:firstLine="411" w:firstLineChars="196"/>
            </w:pPr>
            <w:r>
              <w:rPr>
                <w:rFonts w:hint="eastAsia"/>
              </w:rPr>
              <w:t>2020年1月至4月：召开学术研讨会，对现行我省独立学院教学经费投入运行问题进行专题探讨，征求与会专家的意见，修改研究报告，并拟定管理制度，完善研究成果；开展以1-2个独立学院为例的个案研究，对设计的评价指标进行测试、补充、修改。</w:t>
            </w:r>
          </w:p>
          <w:p>
            <w:pPr>
              <w:ind w:firstLine="411" w:firstLineChars="196"/>
            </w:pPr>
            <w:r>
              <w:rPr>
                <w:rFonts w:hint="eastAsia"/>
              </w:rPr>
              <w:t>2020年5月至8月：在对研究成果进行梳理、提炼的基础上，完成研究总报告，提出推广方案。研究成果评审、鉴定，向省教育厅提交研究成果，申请结题。</w:t>
            </w:r>
          </w:p>
          <w:p>
            <w:pPr>
              <w:widowControl/>
              <w:autoSpaceDE/>
              <w:autoSpaceDN/>
              <w:adjustRightInd/>
              <w:spacing w:line="640" w:lineRule="atLeast"/>
              <w:ind w:firstLine="0" w:firstLineChars="0"/>
              <w:textAlignment w:val="baseline"/>
              <w:rPr>
                <w:rFonts w:ascii="仿宋" w:hAnsi="仿宋" w:eastAsia="仿宋"/>
                <w:color w:val="333333"/>
              </w:rPr>
            </w:pPr>
            <w:r>
              <w:rPr>
                <w:rFonts w:hint="eastAsia" w:ascii="宋体" w:hAnsi="宋体"/>
                <w:b/>
                <w:sz w:val="24"/>
              </w:rPr>
              <w:t>[</w:t>
            </w:r>
            <w:r>
              <w:rPr>
                <w:rFonts w:hint="eastAsia" w:ascii="宋体" w:hAnsi="宋体"/>
                <w:b/>
                <w:color w:val="000000"/>
                <w:sz w:val="24"/>
              </w:rPr>
              <w:t>可行性分析 ]</w:t>
            </w:r>
          </w:p>
          <w:p>
            <w:pPr>
              <w:rPr>
                <w:rFonts w:eastAsia="仿宋_GB2312"/>
                <w:color w:val="000000"/>
                <w:u w:color="000000"/>
              </w:rPr>
            </w:pPr>
            <w:r>
              <w:rPr>
                <w:rFonts w:hint="eastAsia"/>
              </w:rPr>
              <w:t>本研究项目将通过对浙江省独立学院教学经费的审视，将从教学经费构成的要素入手，对教学经费进行界定、找准教学经费投入过程中存在的问题、剖析其原因、进而对教学经费投入、财务预算、使用、监督评价等保障制度进行设计等。为进一步提高独立学院教学工作管理水平提供有益的参考和借鉴，有利于明确教学经费的计算范围，并为学校内部合理投入教学经费提供充分依据和制度性设计，对加强浙江省独立学院教学经费管理既必要也是可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05" w:hRule="atLeast"/>
        </w:trPr>
        <w:tc>
          <w:tcPr>
            <w:tcW w:w="8568" w:type="dxa"/>
            <w:tcBorders>
              <w:top w:val="single" w:color="000000" w:sz="2" w:space="0"/>
              <w:left w:val="single" w:color="000000" w:sz="2" w:space="0"/>
              <w:bottom w:val="single" w:color="000000" w:sz="2" w:space="0"/>
              <w:right w:val="single" w:color="000000" w:sz="2" w:space="0"/>
            </w:tcBorders>
          </w:tcPr>
          <w:p>
            <w:pPr>
              <w:widowControl/>
              <w:autoSpaceDE/>
              <w:autoSpaceDN/>
              <w:adjustRightInd/>
              <w:spacing w:line="640" w:lineRule="atLeast"/>
              <w:ind w:firstLine="0" w:firstLineChars="0"/>
              <w:textAlignment w:val="baseline"/>
              <w:rPr>
                <w:rFonts w:eastAsia="仿宋_GB2312"/>
                <w:color w:val="000000"/>
                <w:u w:color="000000"/>
              </w:rPr>
            </w:pPr>
            <w:r>
              <w:rPr>
                <w:rFonts w:eastAsia="仿宋_GB2312"/>
                <w:color w:val="000000"/>
                <w:u w:color="000000"/>
              </w:rPr>
              <w:t>3.</w:t>
            </w:r>
            <w:r>
              <w:rPr>
                <w:rFonts w:hint="eastAsia" w:eastAsia="仿宋_GB2312"/>
                <w:color w:val="000000"/>
                <w:u w:color="000000"/>
              </w:rPr>
              <w:t>项目预期的成果和效果（包括成果形式、实施范围、受益学生数等）</w:t>
            </w:r>
          </w:p>
          <w:p>
            <w:pPr>
              <w:rPr>
                <w:rFonts w:ascii="宋体" w:hAnsi="宋体"/>
                <w:szCs w:val="21"/>
              </w:rPr>
            </w:pPr>
          </w:p>
          <w:p>
            <w:pPr>
              <w:rPr>
                <w:rFonts w:ascii="宋体" w:hAnsi="宋体"/>
                <w:szCs w:val="21"/>
              </w:rPr>
            </w:pPr>
            <w:r>
              <w:rPr>
                <w:rFonts w:hint="eastAsia" w:ascii="宋体" w:hAnsi="宋体"/>
                <w:szCs w:val="21"/>
              </w:rPr>
              <w:t>通过本</w:t>
            </w:r>
            <w:r>
              <w:rPr>
                <w:rFonts w:hint="eastAsia"/>
              </w:rPr>
              <w:t>项目</w:t>
            </w:r>
            <w:r>
              <w:rPr>
                <w:rFonts w:hint="eastAsia" w:ascii="宋体" w:hAnsi="宋体"/>
                <w:szCs w:val="21"/>
              </w:rPr>
              <w:t>研究，力图使我省财政部门和教育行政部门对独立学院教学经费投入、使用和管理有一个全新的判断</w:t>
            </w:r>
            <w:r>
              <w:rPr>
                <w:rFonts w:hint="eastAsia" w:ascii="宋体" w:hAnsi="宋体"/>
                <w:bCs/>
                <w:szCs w:val="21"/>
              </w:rPr>
              <w:t>，</w:t>
            </w:r>
            <w:r>
              <w:rPr>
                <w:rFonts w:hint="eastAsia" w:ascii="宋体" w:hAnsi="宋体"/>
                <w:szCs w:val="21"/>
              </w:rPr>
              <w:t>为政府主管部门出台独立学院收费政策和措施，提供有价值的理论和现实依据，并在我省独立学院建立起长效的教学经费保障机制，从而能够更好地激发独立学院提高教学质量，培养高素质的人才，实现我省独立学院应用型高校建设的目标。</w:t>
            </w:r>
          </w:p>
          <w:p>
            <w:pPr>
              <w:rPr>
                <w:szCs w:val="21"/>
              </w:rPr>
            </w:pPr>
            <w:r>
              <w:rPr>
                <w:szCs w:val="21"/>
              </w:rPr>
              <w:t>项目预期成果以提高</w:t>
            </w:r>
            <w:r>
              <w:rPr>
                <w:rFonts w:hint="eastAsia"/>
                <w:szCs w:val="21"/>
              </w:rPr>
              <w:t>独立学院</w:t>
            </w:r>
            <w:r>
              <w:rPr>
                <w:szCs w:val="21"/>
              </w:rPr>
              <w:t>教学</w:t>
            </w:r>
            <w:r>
              <w:rPr>
                <w:rFonts w:hint="eastAsia"/>
                <w:szCs w:val="21"/>
              </w:rPr>
              <w:t>的</w:t>
            </w:r>
            <w:r>
              <w:rPr>
                <w:szCs w:val="21"/>
              </w:rPr>
              <w:t>质量为落脚点</w:t>
            </w:r>
            <w:r>
              <w:rPr>
                <w:rFonts w:hint="eastAsia"/>
                <w:szCs w:val="21"/>
              </w:rPr>
              <w:t>，</w:t>
            </w:r>
            <w:r>
              <w:rPr>
                <w:szCs w:val="21"/>
              </w:rPr>
              <w:t>总体形</w:t>
            </w:r>
            <w:r>
              <w:rPr>
                <w:rFonts w:hint="eastAsia"/>
                <w:szCs w:val="21"/>
              </w:rPr>
              <w:t>成独立学院教学经费</w:t>
            </w:r>
            <w:r>
              <w:rPr>
                <w:szCs w:val="21"/>
              </w:rPr>
              <w:t>保障体系和反映实践改革成果的制度文件，提出反映课题理论研究成果的教学研究论文</w:t>
            </w:r>
            <w:r>
              <w:rPr>
                <w:rFonts w:hint="eastAsia" w:ascii="宋体" w:hAnsi="宋体"/>
                <w:szCs w:val="21"/>
              </w:rPr>
              <w:t>1—2篇，在核心期刊上发表；项目研究将形成</w:t>
            </w:r>
            <w:r>
              <w:rPr>
                <w:rFonts w:hint="eastAsia"/>
              </w:rPr>
              <w:t>独立学院教学经费财务预算制度、</w:t>
            </w:r>
            <w:r>
              <w:rPr>
                <w:rFonts w:hint="eastAsia" w:ascii="宋体" w:hAnsi="宋体"/>
                <w:szCs w:val="21"/>
              </w:rPr>
              <w:t>教学经费管理制度、定额标准以及考核评价指标</w:t>
            </w:r>
            <w:r>
              <w:rPr>
                <w:rFonts w:hint="eastAsia"/>
              </w:rPr>
              <w:t>体系</w:t>
            </w:r>
            <w:r>
              <w:rPr>
                <w:rFonts w:hint="eastAsia" w:ascii="宋体" w:hAnsi="宋体"/>
                <w:szCs w:val="21"/>
              </w:rPr>
              <w:t>，</w:t>
            </w:r>
            <w:r>
              <w:rPr>
                <w:rFonts w:hint="eastAsia"/>
              </w:rPr>
              <w:t>提出浙江省独立学院学费标准市场机制、教学经费量化机制、教学经费财务预算的长效机制、教学经费使用上的运行机制和教学经费使用上的绩效评价与监督机制的可行性对策与建议，</w:t>
            </w:r>
            <w:r>
              <w:rPr>
                <w:rFonts w:hint="eastAsia" w:ascii="宋体" w:hAnsi="宋体"/>
                <w:szCs w:val="21"/>
              </w:rPr>
              <w:t>最后提交课题研究成果的</w:t>
            </w:r>
            <w:r>
              <w:rPr>
                <w:szCs w:val="21"/>
              </w:rPr>
              <w:t>项目总结</w:t>
            </w:r>
            <w:r>
              <w:rPr>
                <w:rFonts w:hint="eastAsia" w:ascii="宋体" w:hAnsi="宋体"/>
                <w:szCs w:val="21"/>
              </w:rPr>
              <w:t>报告《</w:t>
            </w:r>
            <w:r>
              <w:rPr>
                <w:rFonts w:hint="eastAsia" w:ascii="宋体" w:hAnsi="宋体"/>
                <w:color w:val="000000"/>
                <w:szCs w:val="21"/>
              </w:rPr>
              <w:t>浙江省独立学院教学经费</w:t>
            </w:r>
            <w:r>
              <w:rPr>
                <w:rFonts w:hint="eastAsia"/>
                <w:color w:val="000000"/>
                <w:u w:color="000000"/>
              </w:rPr>
              <w:t>投入运行</w:t>
            </w:r>
            <w:r>
              <w:rPr>
                <w:rFonts w:hint="eastAsia" w:ascii="宋体" w:hAnsi="宋体"/>
                <w:color w:val="000000"/>
                <w:szCs w:val="21"/>
              </w:rPr>
              <w:t>保障机制研究</w:t>
            </w:r>
            <w:r>
              <w:rPr>
                <w:rFonts w:hint="eastAsia" w:ascii="宋体" w:hAnsi="宋体"/>
                <w:szCs w:val="21"/>
              </w:rPr>
              <w:t>》，并提出应用</w:t>
            </w:r>
            <w:r>
              <w:rPr>
                <w:szCs w:val="21"/>
              </w:rPr>
              <w:t>推广方案</w:t>
            </w:r>
            <w:r>
              <w:rPr>
                <w:rFonts w:hint="eastAsia"/>
                <w:szCs w:val="21"/>
              </w:rPr>
              <w:t>，为在全省独立学院中推广应用创造条件。</w:t>
            </w:r>
          </w:p>
          <w:p>
            <w:r>
              <w:rPr>
                <w:rFonts w:hint="eastAsia"/>
              </w:rPr>
              <w:t>研究成果能在全省所有独立学院组织实施，无疑将惠及全省独立学院所有的学生。在此基础上进行扩展研究，可以进一步辐射到各类民办学校的学生。</w:t>
            </w:r>
          </w:p>
          <w:p>
            <w:pPr>
              <w:pStyle w:val="7"/>
              <w:shd w:val="clear" w:color="auto" w:fill="FFFFFF"/>
              <w:wordWrap w:val="0"/>
              <w:spacing w:after="136"/>
              <w:rPr>
                <w:rFonts w:eastAsia="仿宋_GB2312"/>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05" w:hRule="atLeast"/>
        </w:trPr>
        <w:tc>
          <w:tcPr>
            <w:tcW w:w="8568" w:type="dxa"/>
            <w:tcBorders>
              <w:top w:val="single" w:color="000000" w:sz="2" w:space="0"/>
              <w:left w:val="single" w:color="000000" w:sz="2" w:space="0"/>
              <w:bottom w:val="single" w:color="000000" w:sz="2" w:space="0"/>
              <w:right w:val="single" w:color="000000" w:sz="2" w:space="0"/>
            </w:tcBorders>
          </w:tcPr>
          <w:p>
            <w:pPr>
              <w:widowControl/>
              <w:autoSpaceDE/>
              <w:autoSpaceDN/>
              <w:adjustRightInd/>
              <w:spacing w:line="640" w:lineRule="atLeast"/>
              <w:ind w:firstLine="0" w:firstLineChars="0"/>
              <w:textAlignment w:val="baseline"/>
              <w:rPr>
                <w:rFonts w:eastAsia="仿宋_GB2312"/>
                <w:color w:val="000000"/>
                <w:u w:color="000000"/>
              </w:rPr>
            </w:pPr>
            <w:r>
              <w:rPr>
                <w:rFonts w:eastAsia="仿宋_GB2312"/>
                <w:color w:val="000000"/>
                <w:u w:color="000000"/>
              </w:rPr>
              <w:t>4.</w:t>
            </w:r>
            <w:r>
              <w:rPr>
                <w:rFonts w:hint="eastAsia" w:eastAsia="仿宋_GB2312"/>
                <w:color w:val="000000"/>
                <w:u w:color="000000"/>
              </w:rPr>
              <w:t>本项目的特色与创新之处</w:t>
            </w:r>
          </w:p>
          <w:p>
            <w:pPr>
              <w:rPr>
                <w:rFonts w:ascii="宋体" w:hAnsi="宋体"/>
                <w:szCs w:val="21"/>
              </w:rPr>
            </w:pPr>
          </w:p>
          <w:p>
            <w:pPr>
              <w:rPr>
                <w:rFonts w:ascii="宋体" w:hAnsi="宋体"/>
                <w:szCs w:val="21"/>
              </w:rPr>
            </w:pPr>
            <w:r>
              <w:rPr>
                <w:rFonts w:hint="eastAsia" w:ascii="宋体" w:hAnsi="宋体"/>
                <w:szCs w:val="21"/>
              </w:rPr>
              <w:t>（1）从研究的视角来看：目前浙江省独立学院正处于规范化设置后新的特殊时期，教学经费的保障都出现了这样那样的问题，本研究项目从我省独立学院总体投入着手，分析资金来源入手，建立健全独立学院收费的市场机制，确保独立学院教学经费长效的保障机制。</w:t>
            </w:r>
          </w:p>
          <w:p>
            <w:pPr>
              <w:rPr>
                <w:rFonts w:ascii="宋体" w:hAnsi="宋体"/>
                <w:szCs w:val="21"/>
              </w:rPr>
            </w:pPr>
            <w:r>
              <w:rPr>
                <w:rFonts w:hint="eastAsia" w:ascii="宋体" w:hAnsi="宋体"/>
                <w:szCs w:val="21"/>
              </w:rPr>
              <w:t>（2）从研究的内容来看：一是独立学院建立教学经费投入的量化机制，如确立教学业务经费投入的规模、定额、增长条件、增长比例、核算口径，有利于避免教学业务经费被挪用、挤占；二是建立教学经费</w:t>
            </w:r>
            <w:r>
              <w:rPr>
                <w:rFonts w:hint="eastAsia"/>
              </w:rPr>
              <w:t>财务预算的长效机制</w:t>
            </w:r>
            <w:r>
              <w:rPr>
                <w:rFonts w:hint="eastAsia" w:ascii="宋体" w:hAnsi="宋体"/>
                <w:szCs w:val="21"/>
              </w:rPr>
              <w:t>，确保独立学院教学经费投入、使用的制度性、权威性、有效性；三设立教学经费使用上的绩效评价与监督机制，确保独立学院教学经费使用的公开性、安全性、效率性，增强经费使用者的责任心，提高经费的使用效益等。这些保障机制的建立，可以充分满足人才培养的教学经费的基本需要，成为我省独立学院教学管理最基础、最有力的支持保障系统。</w:t>
            </w:r>
          </w:p>
          <w:p>
            <w:pPr>
              <w:rPr>
                <w:rFonts w:eastAsia="仿宋_GB2312"/>
                <w:color w:val="000000"/>
                <w:u w:color="000000"/>
              </w:rPr>
            </w:pPr>
            <w:r>
              <w:rPr>
                <w:rFonts w:hint="eastAsia" w:ascii="宋体" w:hAnsi="宋体"/>
                <w:szCs w:val="21"/>
              </w:rPr>
              <w:t>（3）从研究的方法来看：项目组成员既有丰富教学管理的人员，也有财会专业人员，能侧重于财务管理视角，通过与教学管理的深度结合，对高校教学活动经费保障的制度创新研究，通过规范研究与实证研究相结合的方法，实证研究采用实地调查与问卷调查相结合来获取独立学院教学经费的现状数据，从当前研究文献看，将独立学院教学经费保障机制开展系统化研究还几乎是空白，因此不仅是教学管理理论探索的深化研究，在教学管理实践方面都具有开拓性和创造性。</w:t>
            </w:r>
          </w:p>
        </w:tc>
      </w:tr>
    </w:tbl>
    <w:p>
      <w:pPr>
        <w:widowControl/>
        <w:autoSpaceDE/>
        <w:autoSpaceDN/>
        <w:adjustRightInd/>
        <w:spacing w:line="640" w:lineRule="atLeast"/>
        <w:ind w:firstLine="0" w:firstLineChars="0"/>
        <w:jc w:val="both"/>
        <w:textAlignment w:val="baseline"/>
        <w:rPr>
          <w:color w:val="000000"/>
          <w:u w:color="000000"/>
        </w:rPr>
      </w:pPr>
      <w:r>
        <w:rPr>
          <w:rFonts w:hint="eastAsia" w:eastAsia="仿宋_GB2312"/>
          <w:color w:val="000000"/>
          <w:sz w:val="28"/>
          <w:u w:color="000000"/>
        </w:rPr>
        <w:t>四、教学改革基础</w:t>
      </w:r>
    </w:p>
    <w:tbl>
      <w:tblPr>
        <w:tblStyle w:val="11"/>
        <w:tblW w:w="8568" w:type="dxa"/>
        <w:jc w:val="center"/>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39"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autoSpaceDE/>
              <w:autoSpaceDN/>
              <w:adjustRightInd/>
              <w:spacing w:line="640" w:lineRule="atLeast"/>
              <w:ind w:firstLine="0" w:firstLineChars="0"/>
              <w:textAlignment w:val="baseline"/>
              <w:rPr>
                <w:rFonts w:eastAsia="仿宋_GB2312"/>
                <w:color w:val="000000"/>
                <w:u w:color="000000"/>
              </w:rPr>
            </w:pPr>
            <w:r>
              <w:rPr>
                <w:rFonts w:eastAsia="仿宋_GB2312"/>
                <w:color w:val="000000"/>
                <w:u w:color="000000"/>
              </w:rPr>
              <w:t>1.</w:t>
            </w:r>
            <w:r>
              <w:rPr>
                <w:rFonts w:hint="eastAsia" w:eastAsia="仿宋_GB2312"/>
                <w:color w:val="000000"/>
                <w:u w:color="000000"/>
              </w:rPr>
              <w:t>与本项目有关的教学改革工作积累和已取得的教学改革工作成绩</w:t>
            </w:r>
          </w:p>
          <w:p>
            <w:pPr>
              <w:rPr>
                <w:rFonts w:ascii="宋体" w:hAnsi="宋体"/>
                <w:color w:val="FF0000"/>
                <w:szCs w:val="21"/>
              </w:rPr>
            </w:pPr>
          </w:p>
          <w:p>
            <w:pPr>
              <w:rPr>
                <w:rFonts w:ascii="宋体" w:hAnsi="宋体"/>
                <w:szCs w:val="21"/>
              </w:rPr>
            </w:pPr>
            <w:r>
              <w:rPr>
                <w:rFonts w:hint="eastAsia" w:ascii="宋体" w:hAnsi="宋体"/>
                <w:szCs w:val="21"/>
              </w:rPr>
              <w:t>浙江省独立学院的发展一直走在全国的前列，独立学院相关的教育改革和教学改革也一直处在领先水平，教学经费管理工作有较好的基础。浙江工业大学之江学院十分重视教学管理制度建设，教学管理组织系统完整，建立了有自身特色的教学计划管理、教学运行管理、教学质量管理以及教学基本建设管理等各项教学管理制度，特别是教学改革方面，进行了大胆积极的探索，取得了一批省级优秀教学成果，近年来开展各级各类教学研究和建设项目</w:t>
            </w:r>
            <w:r>
              <w:rPr>
                <w:rFonts w:ascii="宋体" w:hAnsi="宋体"/>
                <w:szCs w:val="21"/>
              </w:rPr>
              <w:t>300</w:t>
            </w:r>
            <w:r>
              <w:rPr>
                <w:rFonts w:hint="eastAsia" w:ascii="宋体" w:hAnsi="宋体"/>
                <w:szCs w:val="21"/>
              </w:rPr>
              <w:t>余项，其中省级及以上项目</w:t>
            </w:r>
            <w:r>
              <w:rPr>
                <w:rFonts w:ascii="宋体" w:hAnsi="宋体"/>
                <w:szCs w:val="21"/>
              </w:rPr>
              <w:t>30</w:t>
            </w:r>
            <w:r>
              <w:rPr>
                <w:rFonts w:hint="eastAsia" w:ascii="宋体" w:hAnsi="宋体"/>
                <w:szCs w:val="21"/>
              </w:rPr>
              <w:t>余项；已建成和在建的优秀（精品）课程（群）建设项目</w:t>
            </w:r>
            <w:r>
              <w:rPr>
                <w:rFonts w:ascii="宋体" w:hAnsi="宋体"/>
                <w:szCs w:val="21"/>
              </w:rPr>
              <w:t>75</w:t>
            </w:r>
            <w:r>
              <w:rPr>
                <w:rFonts w:hint="eastAsia" w:ascii="宋体" w:hAnsi="宋体"/>
                <w:szCs w:val="21"/>
              </w:rPr>
              <w:t>项，其中“高等数学”、“理论力学”为省级精品课程；主编各类教材</w:t>
            </w:r>
            <w:r>
              <w:rPr>
                <w:rFonts w:ascii="宋体" w:hAnsi="宋体"/>
                <w:szCs w:val="21"/>
              </w:rPr>
              <w:t>80</w:t>
            </w:r>
            <w:r>
              <w:rPr>
                <w:rFonts w:hint="eastAsia" w:ascii="宋体" w:hAnsi="宋体"/>
                <w:szCs w:val="21"/>
              </w:rPr>
              <w:t>部，其中省级重点教材</w:t>
            </w:r>
            <w:r>
              <w:rPr>
                <w:rFonts w:ascii="宋体" w:hAnsi="宋体"/>
                <w:szCs w:val="21"/>
              </w:rPr>
              <w:t>6</w:t>
            </w:r>
            <w:r>
              <w:rPr>
                <w:rFonts w:hint="eastAsia" w:ascii="宋体" w:hAnsi="宋体"/>
                <w:szCs w:val="21"/>
              </w:rPr>
              <w:t>部；</w:t>
            </w:r>
            <w:r>
              <w:rPr>
                <w:rFonts w:ascii="宋体" w:hAnsi="宋体"/>
                <w:szCs w:val="21"/>
              </w:rPr>
              <w:t>“</w:t>
            </w:r>
            <w:r>
              <w:rPr>
                <w:rFonts w:hint="eastAsia" w:ascii="宋体" w:hAnsi="宋体"/>
                <w:szCs w:val="21"/>
              </w:rPr>
              <w:t>独立学院教学管理的研究与实践</w:t>
            </w:r>
            <w:r>
              <w:rPr>
                <w:rFonts w:ascii="宋体" w:hAnsi="宋体"/>
                <w:szCs w:val="21"/>
              </w:rPr>
              <w:t>”</w:t>
            </w:r>
            <w:r>
              <w:rPr>
                <w:rFonts w:hint="eastAsia" w:ascii="宋体" w:hAnsi="宋体"/>
                <w:szCs w:val="21"/>
              </w:rPr>
              <w:t>荣获浙江省教学成果一等奖，</w:t>
            </w:r>
            <w:r>
              <w:rPr>
                <w:rFonts w:ascii="宋体" w:hAnsi="宋体"/>
                <w:szCs w:val="21"/>
              </w:rPr>
              <w:t>“</w:t>
            </w:r>
            <w:r>
              <w:rPr>
                <w:rFonts w:hint="eastAsia" w:ascii="宋体" w:hAnsi="宋体"/>
                <w:szCs w:val="21"/>
              </w:rPr>
              <w:t>机械工程及自动化</w:t>
            </w:r>
            <w:r>
              <w:rPr>
                <w:rFonts w:ascii="宋体" w:hAnsi="宋体"/>
                <w:szCs w:val="21"/>
              </w:rPr>
              <w:t>”</w:t>
            </w:r>
            <w:r>
              <w:rPr>
                <w:rFonts w:hint="eastAsia" w:ascii="宋体" w:hAnsi="宋体"/>
                <w:szCs w:val="21"/>
              </w:rPr>
              <w:t>专业为省级重点建设专业；旅游管理、电子信息工程和财务管理等专业为省级“十二五”新兴特色优势专业；这是项目研究所在单位教学工作的重要积淀，也为项目研究提供重要的环境支撑。</w:t>
            </w:r>
          </w:p>
          <w:p>
            <w:pPr>
              <w:rPr>
                <w:rFonts w:eastAsia="仿宋_GB2312"/>
                <w:color w:val="000000"/>
                <w:u w:color="000000"/>
              </w:rPr>
            </w:pPr>
            <w:r>
              <w:rPr>
                <w:rFonts w:hint="eastAsia" w:ascii="宋体" w:hAnsi="宋体"/>
                <w:szCs w:val="21"/>
              </w:rPr>
              <w:t>项目组主要成员既比较了解我省独立学院教育的现状与发展趋势，又熟悉独立学院的财务情况，项目负责人主持了浙江工业大学教学改革项目、浙江省科技厅重点软科学项目和浙江工业大学研究生教学改革项目，参与浙江省新世纪教改项目、浙江省财政厅教育投入专项项目等多项教学管理研究课题，并在本项目研究的相关领域已进行过一定深度的研究；项目组主要成员在浙江省“十三五”重点/特色专业建设、浙江省重点建设教材编写、开放式实验室建设、精品课程建设、工程硕士培养体系建设和财务管理方面都有丰富的积累。项目组在研究的领域查阅积累了的大量相关文献资料，对项目研究重要问题已作初步的思考，形成了一些观点，特别是对省内独立学院教学经费投入、使用、管理状况已做过实地调查分析工作</w:t>
            </w:r>
            <w:r>
              <w:rPr>
                <w:rFonts w:hint="eastAsia" w:ascii="宋体" w:hAnsi="宋体"/>
                <w:b/>
                <w:szCs w:val="21"/>
              </w:rPr>
              <w:t>，已完成对浙江省独立学院财务运行成本的调查研究，形成调研报告</w:t>
            </w:r>
            <w:r>
              <w:rPr>
                <w:rFonts w:hint="eastAsia" w:ascii="宋体" w:hAnsi="宋体"/>
                <w:szCs w:val="21"/>
              </w:rPr>
              <w:t>，这些对完成本项目奠定了良好的工作基础。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76"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autoSpaceDE/>
              <w:autoSpaceDN/>
              <w:adjustRightInd/>
              <w:ind w:firstLine="0" w:firstLineChars="0"/>
              <w:textAlignment w:val="baseline"/>
              <w:rPr>
                <w:rFonts w:eastAsia="仿宋_GB2312"/>
                <w:color w:val="000000"/>
                <w:u w:color="000000"/>
              </w:rPr>
            </w:pPr>
            <w:r>
              <w:rPr>
                <w:rFonts w:eastAsia="仿宋_GB2312"/>
                <w:color w:val="000000"/>
                <w:u w:color="000000"/>
              </w:rPr>
              <w:t>2.</w:t>
            </w:r>
            <w:r>
              <w:rPr>
                <w:rFonts w:hint="eastAsia" w:eastAsia="仿宋_GB2312"/>
                <w:color w:val="000000"/>
                <w:u w:color="000000"/>
              </w:rPr>
              <w:t>学校已具备的教学改革基础和环境，学校对项目的支持情况（含有关政策、经费及其使用管理机制、保障条件等，可附有关文件），尚缺少的条件和拟解决的途径</w:t>
            </w:r>
          </w:p>
          <w:p/>
          <w:p>
            <w:pPr>
              <w:rPr>
                <w:color w:val="FF0000"/>
              </w:rPr>
            </w:pPr>
            <w:r>
              <w:t>项</w:t>
            </w:r>
            <w:r>
              <w:rPr>
                <w:rFonts w:ascii="宋体" w:hAnsi="宋体"/>
                <w:szCs w:val="21"/>
              </w:rPr>
              <w:t>目主持单位</w:t>
            </w:r>
            <w:r>
              <w:rPr>
                <w:rFonts w:hint="eastAsia" w:ascii="宋体" w:hAnsi="宋体"/>
                <w:szCs w:val="21"/>
              </w:rPr>
              <w:t>浙江工业大学之江学院一直将教学工作作为学校的中心工作，深化改革，强化实践，为灵活主动响应区域经济社会发展的需要，实现特色发展，确立了“以学生发展能力素质需求为导向，实施个性化、复合化、国际化教育，培养会干事、会学习、会生活的高级应用人才”的人才培养目标。学院十分重视教学保障和教学改革，多年来积极探索教学改革工作，</w:t>
            </w:r>
            <w:r>
              <w:rPr>
                <w:rFonts w:ascii="宋体" w:hAnsi="宋体"/>
                <w:szCs w:val="21"/>
              </w:rPr>
              <w:t>对教改项目进行规范化管理</w:t>
            </w:r>
            <w:r>
              <w:rPr>
                <w:rFonts w:hint="eastAsia" w:ascii="宋体" w:hAnsi="宋体"/>
                <w:szCs w:val="21"/>
              </w:rPr>
              <w:t>，</w:t>
            </w:r>
            <w:r>
              <w:rPr>
                <w:rFonts w:ascii="宋体" w:hAnsi="宋体"/>
                <w:szCs w:val="21"/>
              </w:rPr>
              <w:t>出台了教学改革项目管理办法，实行教改项目负责人制度，对省级教改项目给予</w:t>
            </w:r>
            <w:r>
              <w:rPr>
                <w:rFonts w:hint="eastAsia" w:ascii="宋体" w:hAnsi="宋体"/>
                <w:szCs w:val="21"/>
              </w:rPr>
              <w:t>一定比例预算</w:t>
            </w:r>
            <w:r>
              <w:rPr>
                <w:rFonts w:ascii="宋体" w:hAnsi="宋体"/>
                <w:szCs w:val="21"/>
              </w:rPr>
              <w:t>经费</w:t>
            </w:r>
            <w:r>
              <w:rPr>
                <w:rFonts w:hint="eastAsia" w:ascii="宋体" w:hAnsi="宋体"/>
                <w:szCs w:val="21"/>
              </w:rPr>
              <w:t>安排</w:t>
            </w:r>
            <w:r>
              <w:rPr>
                <w:rFonts w:ascii="宋体" w:hAnsi="宋体"/>
                <w:szCs w:val="21"/>
              </w:rPr>
              <w:t>，并</w:t>
            </w:r>
            <w:r>
              <w:rPr>
                <w:rFonts w:hint="eastAsia" w:ascii="宋体" w:hAnsi="宋体"/>
                <w:szCs w:val="21"/>
              </w:rPr>
              <w:t>严格按</w:t>
            </w:r>
            <w:r>
              <w:rPr>
                <w:rFonts w:ascii="宋体" w:hAnsi="宋体"/>
                <w:szCs w:val="21"/>
              </w:rPr>
              <w:t>规定用途使用经费，确保项目经费的合理</w:t>
            </w:r>
            <w:r>
              <w:rPr>
                <w:rFonts w:hint="eastAsia" w:ascii="宋体" w:hAnsi="宋体"/>
                <w:szCs w:val="21"/>
              </w:rPr>
              <w:t>、有效</w:t>
            </w:r>
            <w:r>
              <w:rPr>
                <w:rFonts w:ascii="宋体" w:hAnsi="宋体"/>
                <w:szCs w:val="21"/>
              </w:rPr>
              <w:t>使用；对省级教改项目视同为省</w:t>
            </w:r>
            <w:r>
              <w:rPr>
                <w:rFonts w:hint="eastAsia" w:ascii="宋体" w:hAnsi="宋体"/>
                <w:szCs w:val="21"/>
              </w:rPr>
              <w:t>级研究</w:t>
            </w:r>
            <w:r>
              <w:rPr>
                <w:rFonts w:ascii="宋体" w:hAnsi="宋体"/>
                <w:szCs w:val="21"/>
              </w:rPr>
              <w:t>项目，在职称评审、岗位聘任中给予</w:t>
            </w:r>
            <w:r>
              <w:rPr>
                <w:rFonts w:hint="eastAsia" w:ascii="宋体" w:hAnsi="宋体"/>
                <w:szCs w:val="21"/>
              </w:rPr>
              <w:t>充分</w:t>
            </w:r>
            <w:r>
              <w:rPr>
                <w:rFonts w:ascii="宋体" w:hAnsi="宋体"/>
                <w:szCs w:val="21"/>
              </w:rPr>
              <w:t>体现；对获得的教学成果，根据制度进行奖励</w:t>
            </w:r>
            <w:r>
              <w:rPr>
                <w:rFonts w:hint="eastAsia" w:ascii="宋体" w:hAnsi="宋体"/>
                <w:szCs w:val="21"/>
              </w:rPr>
              <w:t>；学院还实施</w:t>
            </w:r>
            <w:r>
              <w:rPr>
                <w:rFonts w:ascii="宋体" w:hAnsi="宋体"/>
                <w:szCs w:val="21"/>
              </w:rPr>
              <w:t>对教改项目的进程检查和督促</w:t>
            </w:r>
            <w:r>
              <w:rPr>
                <w:rFonts w:hint="eastAsia" w:ascii="宋体" w:hAnsi="宋体"/>
                <w:szCs w:val="21"/>
              </w:rPr>
              <w:t>制度</w:t>
            </w:r>
            <w:r>
              <w:rPr>
                <w:rFonts w:ascii="宋体" w:hAnsi="宋体"/>
                <w:szCs w:val="21"/>
              </w:rPr>
              <w:t>，确保项目顺利实施</w:t>
            </w:r>
            <w:r>
              <w:rPr>
                <w:rFonts w:hint="eastAsia" w:ascii="宋体" w:hAnsi="宋体"/>
                <w:szCs w:val="21"/>
              </w:rPr>
              <w:t>，这些措施为本课题创造了良好的教学改革基础和环境。</w:t>
            </w:r>
          </w:p>
          <w:p>
            <w:pPr>
              <w:rPr>
                <w:rFonts w:ascii="宋体" w:hAnsi="宋体"/>
                <w:szCs w:val="21"/>
              </w:rPr>
            </w:pPr>
            <w:r>
              <w:rPr>
                <w:rFonts w:hint="eastAsia" w:ascii="宋体" w:hAnsi="宋体"/>
                <w:szCs w:val="21"/>
              </w:rPr>
              <w:t>浙江工业大学之江学院图书馆与浙江工业大学图书馆资源共享，有丰富、大量的网络资源和图书资料，能通过校园网快捷地查阅网上有关资料，为完成本项目研究提供了充分的资源保证。</w:t>
            </w:r>
          </w:p>
          <w:p>
            <w:pPr>
              <w:widowControl/>
              <w:autoSpaceDE/>
              <w:autoSpaceDN/>
              <w:adjustRightInd/>
              <w:textAlignment w:val="baseline"/>
              <w:rPr>
                <w:rFonts w:eastAsia="仿宋_GB2312"/>
                <w:color w:val="000000"/>
                <w:u w:color="000000"/>
              </w:rPr>
            </w:pPr>
            <w:r>
              <w:rPr>
                <w:rFonts w:hint="eastAsia" w:ascii="宋体" w:hAnsi="宋体"/>
                <w:szCs w:val="21"/>
              </w:rPr>
              <w:t>为确保本项目研究的顺利进行，项目组将聘用具有丰富财政管理、教学管理经验的专家担任本项目组的顾问。项目组主要成员近年来一直从事高校财务管理、教学管理的研究，取得了一批成果，具有较丰富的研究经验，完成了省部、厅局级科研项目多项，并在国内外核心期刊上发表学术论文多篇。课题组成员都具有良好的知识结构和学历结构，有较强的科研能力，多年团结合作的经验，在教育财会领域有一定的影响力，研究时间和精力能够充分保证，这也是本项目高质量完成的必要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76"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autoSpaceDE/>
              <w:autoSpaceDN/>
              <w:adjustRightInd/>
              <w:ind w:firstLine="0" w:firstLineChars="0"/>
              <w:textAlignment w:val="baseline"/>
              <w:rPr>
                <w:rFonts w:eastAsia="仿宋_GB2312"/>
                <w:color w:val="000000"/>
                <w:u w:color="000000"/>
              </w:rPr>
            </w:pPr>
            <w:r>
              <w:rPr>
                <w:rFonts w:eastAsia="仿宋_GB2312"/>
                <w:color w:val="000000"/>
                <w:u w:color="000000"/>
              </w:rPr>
              <w:t>3.</w:t>
            </w:r>
            <w:r>
              <w:rPr>
                <w:rFonts w:hint="eastAsia" w:eastAsia="仿宋_GB2312"/>
                <w:color w:val="000000"/>
                <w:u w:color="000000"/>
              </w:rPr>
              <w:t>申请者和项目组成员所承担的教学改革和科研项目情况</w:t>
            </w:r>
          </w:p>
          <w:p>
            <w:pPr>
              <w:widowControl/>
              <w:autoSpaceDE/>
              <w:autoSpaceDN/>
              <w:adjustRightInd/>
              <w:ind w:firstLine="0" w:firstLineChars="0"/>
              <w:textAlignment w:val="baseline"/>
              <w:rPr>
                <w:rFonts w:ascii="宋体" w:hAnsi="宋体"/>
                <w:szCs w:val="21"/>
              </w:rPr>
            </w:pPr>
            <w:r>
              <w:rPr>
                <w:rFonts w:hint="eastAsia" w:eastAsia="仿宋_GB2312"/>
                <w:color w:val="000000"/>
                <w:u w:color="000000"/>
              </w:rPr>
              <w:t xml:space="preserve">  </w:t>
            </w:r>
            <w:r>
              <w:rPr>
                <w:rFonts w:hint="eastAsia" w:ascii="宋体" w:hAnsi="宋体"/>
                <w:szCs w:val="21"/>
              </w:rPr>
              <w:t xml:space="preserve"> （1）项目负责人所承担的教学改革和科研项目：</w:t>
            </w:r>
          </w:p>
          <w:p>
            <w:pPr>
              <w:widowControl/>
              <w:autoSpaceDE/>
              <w:autoSpaceDN/>
              <w:adjustRightInd/>
              <w:ind w:firstLine="0" w:firstLineChars="0"/>
              <w:textAlignment w:val="baseline"/>
              <w:rPr>
                <w:rFonts w:eastAsia="仿宋_GB2312"/>
                <w:color w:val="000000"/>
                <w:u w:color="000000"/>
              </w:rPr>
            </w:pPr>
            <w:r>
              <w:rPr>
                <w:rFonts w:hint="eastAsia" w:eastAsia="仿宋_GB2312"/>
                <w:color w:val="000000"/>
                <w:u w:color="000000"/>
              </w:rPr>
              <w:t>　</w:t>
            </w:r>
          </w:p>
          <w:tbl>
            <w:tblPr>
              <w:tblStyle w:val="23"/>
              <w:tblW w:w="8206" w:type="dxa"/>
              <w:jc w:val="center"/>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2"/>
              <w:gridCol w:w="4116"/>
              <w:gridCol w:w="2130"/>
              <w:gridCol w:w="141"/>
              <w:gridCol w:w="1147"/>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jc w:val="center"/>
              </w:trPr>
              <w:tc>
                <w:tcPr>
                  <w:tcW w:w="672" w:type="dxa"/>
                  <w:tcBorders>
                    <w:top w:val="single" w:color="000000" w:themeColor="text1" w:sz="8" w:space="0"/>
                    <w:left w:val="nil"/>
                    <w:bottom w:val="single" w:color="000000" w:themeColor="text1" w:sz="8" w:space="0"/>
                    <w:right w:val="nil"/>
                    <w:insideH w:val="single" w:sz="8" w:space="0"/>
                    <w:insideV w:val="nil"/>
                  </w:tcBorders>
                  <w:vAlign w:val="center"/>
                </w:tcPr>
                <w:p>
                  <w:pPr>
                    <w:widowControl/>
                    <w:autoSpaceDE/>
                    <w:autoSpaceDN/>
                    <w:adjustRightInd/>
                    <w:spacing w:before="0" w:after="0"/>
                    <w:ind w:firstLine="0" w:firstLineChars="0"/>
                    <w:jc w:val="center"/>
                    <w:textAlignment w:val="baseline"/>
                    <w:rPr>
                      <w:rFonts w:eastAsia="仿宋_GB2312"/>
                      <w:b/>
                      <w:bCs/>
                      <w:color w:val="000000"/>
                      <w:u w:color="000000"/>
                    </w:rPr>
                  </w:pPr>
                  <w:r>
                    <w:rPr>
                      <w:rFonts w:hint="eastAsia" w:eastAsia="仿宋_GB2312"/>
                      <w:b/>
                      <w:bCs/>
                      <w:color w:val="000000"/>
                      <w:u w:color="000000"/>
                    </w:rPr>
                    <w:t>序号</w:t>
                  </w:r>
                </w:p>
              </w:tc>
              <w:tc>
                <w:tcPr>
                  <w:tcW w:w="4116" w:type="dxa"/>
                  <w:tcBorders>
                    <w:top w:val="single" w:color="000000" w:themeColor="text1" w:sz="8" w:space="0"/>
                    <w:bottom w:val="single" w:color="000000" w:themeColor="text1" w:sz="8" w:space="0"/>
                    <w:right w:val="nil"/>
                    <w:insideH w:val="single" w:sz="8" w:space="0"/>
                    <w:insideV w:val="nil"/>
                  </w:tcBorders>
                </w:tcPr>
                <w:p>
                  <w:pPr>
                    <w:widowControl/>
                    <w:autoSpaceDE/>
                    <w:autoSpaceDN/>
                    <w:adjustRightInd/>
                    <w:spacing w:before="0" w:after="0"/>
                    <w:ind w:firstLine="0" w:firstLineChars="0"/>
                    <w:jc w:val="center"/>
                    <w:textAlignment w:val="baseline"/>
                    <w:rPr>
                      <w:rFonts w:eastAsia="仿宋_GB2312"/>
                      <w:b/>
                      <w:bCs/>
                      <w:color w:val="000000"/>
                      <w:u w:color="000000"/>
                    </w:rPr>
                  </w:pPr>
                  <w:r>
                    <w:rPr>
                      <w:rFonts w:hint="eastAsia" w:eastAsia="仿宋_GB2312"/>
                      <w:b/>
                      <w:bCs/>
                      <w:color w:val="000000"/>
                      <w:u w:color="000000"/>
                    </w:rPr>
                    <w:t>项目名称</w:t>
                  </w:r>
                </w:p>
              </w:tc>
              <w:tc>
                <w:tcPr>
                  <w:tcW w:w="2130" w:type="dxa"/>
                  <w:tcBorders>
                    <w:top w:val="single" w:color="000000" w:themeColor="text1" w:sz="8" w:space="0"/>
                    <w:bottom w:val="single" w:color="000000" w:themeColor="text1" w:sz="8" w:space="0"/>
                    <w:right w:val="nil"/>
                    <w:insideH w:val="single" w:sz="8" w:space="0"/>
                    <w:insideV w:val="nil"/>
                  </w:tcBorders>
                </w:tcPr>
                <w:p>
                  <w:pPr>
                    <w:widowControl/>
                    <w:autoSpaceDE/>
                    <w:autoSpaceDN/>
                    <w:adjustRightInd/>
                    <w:spacing w:before="0" w:after="0"/>
                    <w:ind w:firstLine="0" w:firstLineChars="0"/>
                    <w:jc w:val="center"/>
                    <w:textAlignment w:val="baseline"/>
                    <w:rPr>
                      <w:rFonts w:eastAsia="仿宋_GB2312"/>
                      <w:b/>
                      <w:bCs/>
                      <w:color w:val="000000"/>
                      <w:u w:color="000000"/>
                    </w:rPr>
                  </w:pPr>
                  <w:r>
                    <w:rPr>
                      <w:rFonts w:hint="eastAsia" w:eastAsia="仿宋_GB2312"/>
                      <w:b/>
                      <w:bCs/>
                      <w:color w:val="000000"/>
                      <w:u w:color="000000"/>
                    </w:rPr>
                    <w:t>项目来源</w:t>
                  </w:r>
                </w:p>
              </w:tc>
              <w:tc>
                <w:tcPr>
                  <w:tcW w:w="1288" w:type="dxa"/>
                  <w:gridSpan w:val="2"/>
                  <w:tcBorders>
                    <w:top w:val="single" w:color="000000" w:themeColor="text1" w:sz="8" w:space="0"/>
                    <w:bottom w:val="single" w:color="000000" w:themeColor="text1" w:sz="8" w:space="0"/>
                    <w:right w:val="nil"/>
                    <w:insideH w:val="single" w:sz="8" w:space="0"/>
                    <w:insideV w:val="nil"/>
                  </w:tcBorders>
                </w:tcPr>
                <w:p>
                  <w:pPr>
                    <w:widowControl/>
                    <w:autoSpaceDE/>
                    <w:autoSpaceDN/>
                    <w:adjustRightInd/>
                    <w:spacing w:before="0" w:after="0"/>
                    <w:ind w:firstLine="0" w:firstLineChars="0"/>
                    <w:jc w:val="center"/>
                    <w:textAlignment w:val="baseline"/>
                    <w:rPr>
                      <w:rFonts w:eastAsia="仿宋_GB2312"/>
                      <w:b/>
                      <w:bCs/>
                      <w:color w:val="000000"/>
                      <w:u w:color="000000"/>
                    </w:rPr>
                  </w:pPr>
                  <w:r>
                    <w:rPr>
                      <w:rFonts w:hint="eastAsia" w:eastAsia="仿宋_GB2312"/>
                      <w:b/>
                      <w:bCs/>
                      <w:color w:val="000000"/>
                      <w:u w:color="000000"/>
                    </w:rPr>
                    <w:t>主持或参与</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jc w:val="center"/>
              </w:trPr>
              <w:tc>
                <w:tcPr>
                  <w:tcW w:w="672" w:type="dxa"/>
                  <w:tcBorders>
                    <w:left w:val="nil"/>
                    <w:right w:val="nil"/>
                    <w:insideV w:val="nil"/>
                  </w:tcBorders>
                  <w:shd w:val="clear" w:color="auto" w:fill="BFBFBF" w:themeFill="text1" w:themeFillTint="3F"/>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1</w:t>
                  </w:r>
                </w:p>
              </w:tc>
              <w:tc>
                <w:tcPr>
                  <w:tcW w:w="4116" w:type="dxa"/>
                  <w:tcBorders>
                    <w:right w:val="nil"/>
                    <w:insideV w:val="nil"/>
                  </w:tcBorders>
                  <w:shd w:val="clear" w:color="auto" w:fill="BFBFBF" w:themeFill="text1" w:themeFillTint="3F"/>
                </w:tcPr>
                <w:p>
                  <w:pPr>
                    <w:widowControl/>
                    <w:autoSpaceDE/>
                    <w:autoSpaceDN/>
                    <w:adjustRightInd/>
                    <w:ind w:firstLine="0" w:firstLineChars="0"/>
                    <w:textAlignment w:val="baseline"/>
                    <w:rPr>
                      <w:rFonts w:eastAsia="仿宋_GB2312"/>
                      <w:color w:val="000000"/>
                      <w:szCs w:val="21"/>
                      <w:u w:color="000000"/>
                    </w:rPr>
                  </w:pPr>
                  <w:r>
                    <w:rPr>
                      <w:rFonts w:hint="eastAsia"/>
                      <w:color w:val="000000" w:themeColor="text1"/>
                      <w:szCs w:val="21"/>
                    </w:rPr>
                    <w:t>基于BSC理论的高校教学经费绩效管理的研究</w:t>
                  </w:r>
                </w:p>
              </w:tc>
              <w:tc>
                <w:tcPr>
                  <w:tcW w:w="2130" w:type="dxa"/>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rFonts w:eastAsia="仿宋_GB2312"/>
                      <w:color w:val="000000"/>
                      <w:szCs w:val="21"/>
                      <w:u w:color="000000"/>
                    </w:rPr>
                  </w:pPr>
                  <w:r>
                    <w:rPr>
                      <w:rFonts w:hint="eastAsia"/>
                      <w:color w:val="000000" w:themeColor="text1"/>
                      <w:szCs w:val="21"/>
                    </w:rPr>
                    <w:t>浙工大教学改革项目</w:t>
                  </w:r>
                </w:p>
              </w:tc>
              <w:tc>
                <w:tcPr>
                  <w:tcW w:w="1288" w:type="dxa"/>
                  <w:gridSpan w:val="2"/>
                  <w:tcBorders>
                    <w:right w:val="nil"/>
                    <w:insideV w:val="nil"/>
                  </w:tcBorders>
                  <w:shd w:val="clear" w:color="auto" w:fill="BFBFBF" w:themeFill="text1" w:themeFillTint="3F"/>
                  <w:vAlign w:val="center"/>
                </w:tcPr>
                <w:p>
                  <w:pPr>
                    <w:widowControl/>
                    <w:autoSpaceDE/>
                    <w:autoSpaceDN/>
                    <w:adjustRightInd/>
                    <w:ind w:firstLine="0" w:firstLineChars="0"/>
                    <w:jc w:val="center"/>
                    <w:textAlignment w:val="baseline"/>
                    <w:rPr>
                      <w:rFonts w:eastAsia="仿宋_GB2312"/>
                      <w:b/>
                      <w:color w:val="000000"/>
                      <w:szCs w:val="21"/>
                      <w:u w:color="000000"/>
                    </w:rPr>
                  </w:pPr>
                  <w:r>
                    <w:rPr>
                      <w:rFonts w:hint="eastAsia" w:eastAsia="仿宋_GB2312"/>
                      <w:b/>
                      <w:color w:val="000000"/>
                      <w:szCs w:val="21"/>
                      <w:u w:color="000000"/>
                    </w:rPr>
                    <w:t>主持</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jc w:val="center"/>
              </w:trPr>
              <w:tc>
                <w:tcPr>
                  <w:tcW w:w="672" w:type="dxa"/>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2</w:t>
                  </w:r>
                </w:p>
              </w:tc>
              <w:tc>
                <w:tcPr>
                  <w:tcW w:w="4116" w:type="dxa"/>
                </w:tcPr>
                <w:p>
                  <w:pPr>
                    <w:widowControl/>
                    <w:autoSpaceDE/>
                    <w:autoSpaceDN/>
                    <w:adjustRightInd/>
                    <w:ind w:firstLine="0" w:firstLineChars="0"/>
                    <w:textAlignment w:val="baseline"/>
                    <w:rPr>
                      <w:rFonts w:eastAsia="仿宋_GB2312"/>
                      <w:color w:val="000000"/>
                      <w:szCs w:val="21"/>
                      <w:u w:color="000000"/>
                    </w:rPr>
                  </w:pPr>
                  <w:r>
                    <w:rPr>
                      <w:rFonts w:hint="eastAsia"/>
                      <w:color w:val="000000" w:themeColor="text1"/>
                      <w:szCs w:val="21"/>
                    </w:rPr>
                    <w:t>浙江省政府采购管理机制创新的研究-以高校为例</w:t>
                  </w:r>
                </w:p>
              </w:tc>
              <w:tc>
                <w:tcPr>
                  <w:tcW w:w="2130" w:type="dxa"/>
                  <w:vAlign w:val="center"/>
                </w:tcPr>
                <w:p>
                  <w:pPr>
                    <w:widowControl/>
                    <w:autoSpaceDE/>
                    <w:autoSpaceDN/>
                    <w:adjustRightInd/>
                    <w:ind w:firstLine="0" w:firstLineChars="0"/>
                    <w:jc w:val="both"/>
                    <w:textAlignment w:val="baseline"/>
                    <w:rPr>
                      <w:color w:val="000000" w:themeColor="text1"/>
                      <w:szCs w:val="21"/>
                    </w:rPr>
                  </w:pPr>
                  <w:r>
                    <w:rPr>
                      <w:rFonts w:hint="eastAsia"/>
                      <w:color w:val="000000" w:themeColor="text1"/>
                      <w:szCs w:val="21"/>
                    </w:rPr>
                    <w:t>浙江省科技厅重点</w:t>
                  </w:r>
                </w:p>
                <w:p>
                  <w:pPr>
                    <w:widowControl/>
                    <w:autoSpaceDE/>
                    <w:autoSpaceDN/>
                    <w:adjustRightInd/>
                    <w:ind w:firstLine="0" w:firstLineChars="0"/>
                    <w:jc w:val="both"/>
                    <w:textAlignment w:val="baseline"/>
                    <w:rPr>
                      <w:rFonts w:eastAsia="仿宋_GB2312"/>
                      <w:color w:val="000000"/>
                      <w:szCs w:val="21"/>
                      <w:u w:color="000000"/>
                    </w:rPr>
                  </w:pPr>
                  <w:r>
                    <w:rPr>
                      <w:rFonts w:hint="eastAsia"/>
                      <w:color w:val="000000" w:themeColor="text1"/>
                      <w:szCs w:val="21"/>
                    </w:rPr>
                    <w:t>项目</w:t>
                  </w:r>
                </w:p>
              </w:tc>
              <w:tc>
                <w:tcPr>
                  <w:tcW w:w="1288" w:type="dxa"/>
                  <w:gridSpan w:val="2"/>
                  <w:vAlign w:val="center"/>
                </w:tcPr>
                <w:p>
                  <w:pPr>
                    <w:widowControl/>
                    <w:autoSpaceDE/>
                    <w:autoSpaceDN/>
                    <w:adjustRightInd/>
                    <w:ind w:firstLine="0" w:firstLineChars="0"/>
                    <w:jc w:val="center"/>
                    <w:textAlignment w:val="baseline"/>
                    <w:rPr>
                      <w:rFonts w:eastAsia="仿宋_GB2312"/>
                      <w:b/>
                      <w:color w:val="000000"/>
                      <w:szCs w:val="21"/>
                      <w:u w:color="000000"/>
                    </w:rPr>
                  </w:pPr>
                  <w:r>
                    <w:rPr>
                      <w:rFonts w:hint="eastAsia" w:eastAsia="仿宋_GB2312"/>
                      <w:b/>
                      <w:color w:val="000000"/>
                      <w:szCs w:val="21"/>
                      <w:u w:color="000000"/>
                    </w:rPr>
                    <w:t>主持</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jc w:val="center"/>
              </w:trPr>
              <w:tc>
                <w:tcPr>
                  <w:tcW w:w="672" w:type="dxa"/>
                  <w:tcBorders>
                    <w:left w:val="nil"/>
                    <w:right w:val="nil"/>
                    <w:insideV w:val="nil"/>
                  </w:tcBorders>
                  <w:shd w:val="clear" w:color="auto" w:fill="BFBFBF" w:themeFill="text1" w:themeFillTint="3F"/>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3</w:t>
                  </w:r>
                </w:p>
              </w:tc>
              <w:tc>
                <w:tcPr>
                  <w:tcW w:w="4116" w:type="dxa"/>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rFonts w:eastAsia="仿宋_GB2312"/>
                      <w:color w:val="000000"/>
                      <w:szCs w:val="21"/>
                      <w:u w:color="000000"/>
                    </w:rPr>
                  </w:pPr>
                  <w:r>
                    <w:rPr>
                      <w:rFonts w:hint="eastAsia"/>
                      <w:color w:val="000000" w:themeColor="text1"/>
                      <w:szCs w:val="21"/>
                    </w:rPr>
                    <w:t>高等学校研究生教育投入机制的研究</w:t>
                  </w:r>
                </w:p>
              </w:tc>
              <w:tc>
                <w:tcPr>
                  <w:tcW w:w="2130" w:type="dxa"/>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color w:val="000000" w:themeColor="text1"/>
                      <w:szCs w:val="21"/>
                    </w:rPr>
                  </w:pPr>
                  <w:r>
                    <w:rPr>
                      <w:rFonts w:hint="eastAsia"/>
                      <w:color w:val="000000" w:themeColor="text1"/>
                      <w:szCs w:val="21"/>
                    </w:rPr>
                    <w:t>浙工大研究生教改</w:t>
                  </w:r>
                </w:p>
                <w:p>
                  <w:pPr>
                    <w:widowControl/>
                    <w:autoSpaceDE/>
                    <w:autoSpaceDN/>
                    <w:adjustRightInd/>
                    <w:ind w:firstLine="0" w:firstLineChars="0"/>
                    <w:jc w:val="both"/>
                    <w:textAlignment w:val="baseline"/>
                    <w:rPr>
                      <w:rFonts w:eastAsia="仿宋_GB2312"/>
                      <w:color w:val="000000"/>
                      <w:szCs w:val="21"/>
                      <w:u w:color="000000"/>
                    </w:rPr>
                  </w:pPr>
                  <w:r>
                    <w:rPr>
                      <w:rFonts w:hint="eastAsia"/>
                      <w:color w:val="000000" w:themeColor="text1"/>
                      <w:szCs w:val="21"/>
                    </w:rPr>
                    <w:t>项目</w:t>
                  </w:r>
                </w:p>
              </w:tc>
              <w:tc>
                <w:tcPr>
                  <w:tcW w:w="1288" w:type="dxa"/>
                  <w:gridSpan w:val="2"/>
                  <w:tcBorders>
                    <w:right w:val="nil"/>
                    <w:insideV w:val="nil"/>
                  </w:tcBorders>
                  <w:shd w:val="clear" w:color="auto" w:fill="BFBFBF" w:themeFill="text1" w:themeFillTint="3F"/>
                  <w:vAlign w:val="center"/>
                </w:tcPr>
                <w:p>
                  <w:pPr>
                    <w:widowControl/>
                    <w:autoSpaceDE/>
                    <w:autoSpaceDN/>
                    <w:adjustRightInd/>
                    <w:ind w:firstLine="0" w:firstLineChars="0"/>
                    <w:jc w:val="center"/>
                    <w:textAlignment w:val="baseline"/>
                    <w:rPr>
                      <w:rFonts w:eastAsia="仿宋_GB2312"/>
                      <w:b/>
                      <w:color w:val="000000"/>
                      <w:szCs w:val="21"/>
                      <w:u w:color="000000"/>
                    </w:rPr>
                  </w:pPr>
                  <w:r>
                    <w:rPr>
                      <w:rFonts w:hint="eastAsia" w:eastAsia="仿宋_GB2312"/>
                      <w:b/>
                      <w:color w:val="000000"/>
                      <w:szCs w:val="21"/>
                      <w:u w:color="000000"/>
                    </w:rPr>
                    <w:t>主持</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jc w:val="center"/>
              </w:trPr>
              <w:tc>
                <w:tcPr>
                  <w:tcW w:w="672" w:type="dxa"/>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4</w:t>
                  </w:r>
                </w:p>
              </w:tc>
              <w:tc>
                <w:tcPr>
                  <w:tcW w:w="4116" w:type="dxa"/>
                  <w:vAlign w:val="center"/>
                </w:tcPr>
                <w:p>
                  <w:pPr>
                    <w:widowControl/>
                    <w:autoSpaceDE/>
                    <w:autoSpaceDN/>
                    <w:adjustRightInd/>
                    <w:ind w:firstLine="0" w:firstLineChars="0"/>
                    <w:jc w:val="both"/>
                    <w:textAlignment w:val="baseline"/>
                    <w:rPr>
                      <w:color w:val="000000" w:themeColor="text1"/>
                      <w:szCs w:val="21"/>
                    </w:rPr>
                  </w:pPr>
                  <w:r>
                    <w:rPr>
                      <w:rFonts w:hint="eastAsia"/>
                      <w:color w:val="000000"/>
                      <w:szCs w:val="21"/>
                    </w:rPr>
                    <w:t>高校科研经费财务运行机制研究</w:t>
                  </w:r>
                </w:p>
              </w:tc>
              <w:tc>
                <w:tcPr>
                  <w:tcW w:w="2130" w:type="dxa"/>
                  <w:vAlign w:val="center"/>
                </w:tcPr>
                <w:p>
                  <w:pPr>
                    <w:widowControl/>
                    <w:autoSpaceDE/>
                    <w:autoSpaceDN/>
                    <w:adjustRightInd/>
                    <w:ind w:firstLine="0" w:firstLineChars="0"/>
                    <w:jc w:val="both"/>
                    <w:textAlignment w:val="baseline"/>
                    <w:rPr>
                      <w:color w:val="000000" w:themeColor="text1"/>
                      <w:szCs w:val="21"/>
                    </w:rPr>
                  </w:pPr>
                  <w:r>
                    <w:rPr>
                      <w:rFonts w:hint="eastAsia"/>
                      <w:color w:val="000000" w:themeColor="text1"/>
                      <w:szCs w:val="21"/>
                    </w:rPr>
                    <w:t>浙江省教育厅科研</w:t>
                  </w:r>
                </w:p>
                <w:p>
                  <w:pPr>
                    <w:widowControl/>
                    <w:autoSpaceDE/>
                    <w:autoSpaceDN/>
                    <w:adjustRightInd/>
                    <w:ind w:firstLine="0" w:firstLineChars="0"/>
                    <w:jc w:val="both"/>
                    <w:textAlignment w:val="baseline"/>
                    <w:rPr>
                      <w:color w:val="000000" w:themeColor="text1"/>
                      <w:szCs w:val="21"/>
                    </w:rPr>
                  </w:pPr>
                  <w:r>
                    <w:rPr>
                      <w:rFonts w:hint="eastAsia"/>
                      <w:color w:val="000000" w:themeColor="text1"/>
                      <w:szCs w:val="21"/>
                    </w:rPr>
                    <w:t>项目</w:t>
                  </w:r>
                </w:p>
              </w:tc>
              <w:tc>
                <w:tcPr>
                  <w:tcW w:w="1288" w:type="dxa"/>
                  <w:gridSpan w:val="2"/>
                  <w:vAlign w:val="center"/>
                </w:tcPr>
                <w:p>
                  <w:pPr>
                    <w:widowControl/>
                    <w:autoSpaceDE/>
                    <w:autoSpaceDN/>
                    <w:adjustRightInd/>
                    <w:ind w:firstLine="0" w:firstLineChars="0"/>
                    <w:jc w:val="center"/>
                    <w:textAlignment w:val="baseline"/>
                    <w:rPr>
                      <w:rFonts w:eastAsia="仿宋_GB2312"/>
                      <w:b/>
                      <w:color w:val="000000"/>
                      <w:szCs w:val="21"/>
                      <w:u w:color="000000"/>
                    </w:rPr>
                  </w:pPr>
                  <w:r>
                    <w:rPr>
                      <w:rFonts w:hint="eastAsia" w:eastAsia="仿宋_GB2312"/>
                      <w:b/>
                      <w:color w:val="000000"/>
                      <w:szCs w:val="21"/>
                      <w:u w:color="000000"/>
                    </w:rPr>
                    <w:t>参与</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jc w:val="center"/>
              </w:trPr>
              <w:tc>
                <w:tcPr>
                  <w:tcW w:w="672" w:type="dxa"/>
                  <w:tcBorders>
                    <w:left w:val="nil"/>
                    <w:right w:val="nil"/>
                    <w:insideV w:val="nil"/>
                  </w:tcBorders>
                  <w:shd w:val="clear" w:color="auto" w:fill="BFBFBF" w:themeFill="text1" w:themeFillTint="3F"/>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5</w:t>
                  </w:r>
                </w:p>
              </w:tc>
              <w:tc>
                <w:tcPr>
                  <w:tcW w:w="4116" w:type="dxa"/>
                  <w:tcBorders>
                    <w:right w:val="nil"/>
                    <w:insideV w:val="nil"/>
                  </w:tcBorders>
                  <w:shd w:val="clear" w:color="auto" w:fill="BFBFBF" w:themeFill="text1" w:themeFillTint="3F"/>
                </w:tcPr>
                <w:p>
                  <w:pPr>
                    <w:widowControl/>
                    <w:autoSpaceDE/>
                    <w:autoSpaceDN/>
                    <w:adjustRightInd/>
                    <w:ind w:firstLine="0" w:firstLineChars="0"/>
                    <w:textAlignment w:val="baseline"/>
                    <w:rPr>
                      <w:color w:val="000000" w:themeColor="text1"/>
                      <w:szCs w:val="21"/>
                    </w:rPr>
                  </w:pPr>
                  <w:r>
                    <w:rPr>
                      <w:rFonts w:hint="eastAsia"/>
                      <w:color w:val="000000"/>
                      <w:szCs w:val="21"/>
                    </w:rPr>
                    <w:t>大众化阶段高等教育经费拨款机制创新的研究</w:t>
                  </w:r>
                </w:p>
              </w:tc>
              <w:tc>
                <w:tcPr>
                  <w:tcW w:w="2130" w:type="dxa"/>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color w:val="000000" w:themeColor="text1"/>
                      <w:szCs w:val="21"/>
                    </w:rPr>
                  </w:pPr>
                  <w:r>
                    <w:rPr>
                      <w:rFonts w:hint="eastAsia"/>
                      <w:color w:val="000000" w:themeColor="text1"/>
                      <w:szCs w:val="21"/>
                    </w:rPr>
                    <w:t>浙江省科技厅面上</w:t>
                  </w:r>
                </w:p>
                <w:p>
                  <w:pPr>
                    <w:widowControl/>
                    <w:autoSpaceDE/>
                    <w:autoSpaceDN/>
                    <w:adjustRightInd/>
                    <w:ind w:firstLine="0" w:firstLineChars="0"/>
                    <w:jc w:val="both"/>
                    <w:textAlignment w:val="baseline"/>
                    <w:rPr>
                      <w:rFonts w:eastAsia="仿宋_GB2312"/>
                      <w:color w:val="000000"/>
                      <w:szCs w:val="21"/>
                      <w:u w:color="000000"/>
                    </w:rPr>
                  </w:pPr>
                  <w:r>
                    <w:rPr>
                      <w:rFonts w:hint="eastAsia"/>
                      <w:color w:val="000000" w:themeColor="text1"/>
                      <w:szCs w:val="21"/>
                    </w:rPr>
                    <w:t>项目</w:t>
                  </w:r>
                </w:p>
              </w:tc>
              <w:tc>
                <w:tcPr>
                  <w:tcW w:w="1288" w:type="dxa"/>
                  <w:gridSpan w:val="2"/>
                  <w:tcBorders>
                    <w:right w:val="nil"/>
                    <w:insideV w:val="nil"/>
                  </w:tcBorders>
                  <w:shd w:val="clear" w:color="auto" w:fill="BFBFBF" w:themeFill="text1" w:themeFillTint="3F"/>
                  <w:vAlign w:val="center"/>
                </w:tcPr>
                <w:p>
                  <w:pPr>
                    <w:widowControl/>
                    <w:autoSpaceDE/>
                    <w:autoSpaceDN/>
                    <w:adjustRightInd/>
                    <w:ind w:firstLine="0" w:firstLineChars="0"/>
                    <w:jc w:val="center"/>
                    <w:textAlignment w:val="baseline"/>
                    <w:rPr>
                      <w:rFonts w:eastAsia="仿宋_GB2312"/>
                      <w:b/>
                      <w:color w:val="000000"/>
                      <w:szCs w:val="21"/>
                      <w:u w:color="000000"/>
                    </w:rPr>
                  </w:pPr>
                  <w:r>
                    <w:rPr>
                      <w:rFonts w:hint="eastAsia" w:eastAsia="仿宋_GB2312"/>
                      <w:b/>
                      <w:color w:val="000000"/>
                      <w:szCs w:val="21"/>
                      <w:u w:color="000000"/>
                    </w:rPr>
                    <w:t>参与</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jc w:val="center"/>
              </w:trPr>
              <w:tc>
                <w:tcPr>
                  <w:tcW w:w="672" w:type="dxa"/>
                  <w:vAlign w:val="center"/>
                </w:tcPr>
                <w:p>
                  <w:pPr>
                    <w:widowControl/>
                    <w:autoSpaceDE/>
                    <w:autoSpaceDN/>
                    <w:adjustRightInd/>
                    <w:ind w:firstLine="0" w:firstLineChars="0"/>
                    <w:jc w:val="center"/>
                    <w:textAlignment w:val="baseline"/>
                    <w:rPr>
                      <w:b w:val="0"/>
                      <w:bCs w:val="0"/>
                      <w:color w:val="000000" w:themeColor="text1"/>
                      <w:szCs w:val="21"/>
                    </w:rPr>
                  </w:pPr>
                  <w:r>
                    <w:rPr>
                      <w:rFonts w:hint="eastAsia" w:eastAsia="仿宋_GB2312"/>
                      <w:b/>
                      <w:bCs/>
                      <w:color w:val="000000"/>
                      <w:szCs w:val="21"/>
                      <w:u w:color="000000"/>
                    </w:rPr>
                    <w:t>6</w:t>
                  </w:r>
                </w:p>
              </w:tc>
              <w:tc>
                <w:tcPr>
                  <w:tcW w:w="4116" w:type="dxa"/>
                  <w:vAlign w:val="center"/>
                </w:tcPr>
                <w:p>
                  <w:pPr>
                    <w:widowControl/>
                    <w:autoSpaceDE/>
                    <w:autoSpaceDN/>
                    <w:adjustRightInd/>
                    <w:ind w:firstLine="0" w:firstLineChars="0"/>
                    <w:jc w:val="both"/>
                    <w:textAlignment w:val="baseline"/>
                    <w:rPr>
                      <w:color w:val="000000" w:themeColor="text1"/>
                      <w:szCs w:val="21"/>
                    </w:rPr>
                  </w:pPr>
                  <w:r>
                    <w:rPr>
                      <w:rFonts w:hint="eastAsia"/>
                      <w:color w:val="000000"/>
                      <w:szCs w:val="21"/>
                    </w:rPr>
                    <w:t>浙江省高校教学经费保障机制研究</w:t>
                  </w:r>
                </w:p>
              </w:tc>
              <w:tc>
                <w:tcPr>
                  <w:tcW w:w="2271" w:type="dxa"/>
                  <w:gridSpan w:val="2"/>
                  <w:vAlign w:val="center"/>
                </w:tcPr>
                <w:p>
                  <w:pPr>
                    <w:widowControl/>
                    <w:autoSpaceDE/>
                    <w:autoSpaceDN/>
                    <w:adjustRightInd/>
                    <w:ind w:firstLine="0" w:firstLineChars="0"/>
                    <w:jc w:val="both"/>
                    <w:textAlignment w:val="baseline"/>
                    <w:rPr>
                      <w:rFonts w:eastAsia="仿宋_GB2312"/>
                      <w:color w:val="000000"/>
                      <w:szCs w:val="21"/>
                      <w:u w:color="000000"/>
                    </w:rPr>
                  </w:pPr>
                  <w:r>
                    <w:rPr>
                      <w:rFonts w:hint="eastAsia"/>
                      <w:color w:val="000000" w:themeColor="text1"/>
                      <w:szCs w:val="21"/>
                    </w:rPr>
                    <w:t>浙江省教育厅新世纪教改</w:t>
                  </w:r>
                </w:p>
              </w:tc>
              <w:tc>
                <w:tcPr>
                  <w:tcW w:w="1147" w:type="dxa"/>
                  <w:vAlign w:val="center"/>
                </w:tcPr>
                <w:p>
                  <w:pPr>
                    <w:widowControl/>
                    <w:autoSpaceDE/>
                    <w:autoSpaceDN/>
                    <w:adjustRightInd/>
                    <w:ind w:firstLine="0" w:firstLineChars="0"/>
                    <w:jc w:val="center"/>
                    <w:textAlignment w:val="baseline"/>
                    <w:rPr>
                      <w:rFonts w:eastAsia="仿宋_GB2312"/>
                      <w:b/>
                      <w:color w:val="000000"/>
                      <w:szCs w:val="21"/>
                      <w:u w:color="000000"/>
                    </w:rPr>
                  </w:pPr>
                  <w:r>
                    <w:rPr>
                      <w:rFonts w:hint="eastAsia" w:eastAsia="仿宋_GB2312"/>
                      <w:b/>
                      <w:color w:val="000000"/>
                      <w:szCs w:val="21"/>
                      <w:u w:color="000000"/>
                    </w:rPr>
                    <w:t>参与</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jc w:val="center"/>
              </w:trPr>
              <w:tc>
                <w:tcPr>
                  <w:tcW w:w="672" w:type="dxa"/>
                  <w:tcBorders>
                    <w:left w:val="nil"/>
                    <w:right w:val="nil"/>
                    <w:insideV w:val="nil"/>
                  </w:tcBorders>
                  <w:shd w:val="clear" w:color="auto" w:fill="BFBFBF" w:themeFill="text1" w:themeFillTint="3F"/>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7</w:t>
                  </w:r>
                </w:p>
              </w:tc>
              <w:tc>
                <w:tcPr>
                  <w:tcW w:w="4116" w:type="dxa"/>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color w:val="000000" w:themeColor="text1"/>
                      <w:szCs w:val="21"/>
                    </w:rPr>
                  </w:pPr>
                  <w:r>
                    <w:rPr>
                      <w:rFonts w:hint="eastAsia"/>
                      <w:color w:val="000000"/>
                      <w:szCs w:val="21"/>
                    </w:rPr>
                    <w:t>建立健全高校后勤企业考核与评价体系</w:t>
                  </w:r>
                </w:p>
              </w:tc>
              <w:tc>
                <w:tcPr>
                  <w:tcW w:w="2271" w:type="dxa"/>
                  <w:gridSpan w:val="2"/>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color w:val="000000" w:themeColor="text1"/>
                      <w:szCs w:val="21"/>
                    </w:rPr>
                  </w:pPr>
                  <w:r>
                    <w:rPr>
                      <w:rFonts w:hint="eastAsia"/>
                      <w:color w:val="000000" w:themeColor="text1"/>
                      <w:szCs w:val="21"/>
                    </w:rPr>
                    <w:t>浙江省教育会计学会项目</w:t>
                  </w:r>
                </w:p>
              </w:tc>
              <w:tc>
                <w:tcPr>
                  <w:tcW w:w="1147" w:type="dxa"/>
                  <w:tcBorders>
                    <w:right w:val="nil"/>
                    <w:insideV w:val="nil"/>
                  </w:tcBorders>
                  <w:shd w:val="clear" w:color="auto" w:fill="BFBFBF" w:themeFill="text1" w:themeFillTint="3F"/>
                  <w:vAlign w:val="center"/>
                </w:tcPr>
                <w:p>
                  <w:pPr>
                    <w:widowControl/>
                    <w:autoSpaceDE/>
                    <w:autoSpaceDN/>
                    <w:adjustRightInd/>
                    <w:ind w:firstLine="0" w:firstLineChars="0"/>
                    <w:jc w:val="center"/>
                    <w:textAlignment w:val="baseline"/>
                    <w:rPr>
                      <w:rFonts w:eastAsia="仿宋_GB2312"/>
                      <w:b/>
                      <w:color w:val="000000"/>
                      <w:szCs w:val="21"/>
                      <w:u w:color="000000"/>
                    </w:rPr>
                  </w:pPr>
                  <w:r>
                    <w:rPr>
                      <w:rFonts w:hint="eastAsia" w:eastAsia="仿宋_GB2312"/>
                      <w:b/>
                      <w:color w:val="000000"/>
                      <w:szCs w:val="21"/>
                      <w:u w:color="000000"/>
                    </w:rPr>
                    <w:t>主持</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jc w:val="center"/>
              </w:trPr>
              <w:tc>
                <w:tcPr>
                  <w:tcW w:w="672" w:type="dxa"/>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8</w:t>
                  </w:r>
                </w:p>
              </w:tc>
              <w:tc>
                <w:tcPr>
                  <w:tcW w:w="4116" w:type="dxa"/>
                  <w:vAlign w:val="center"/>
                </w:tcPr>
                <w:p>
                  <w:pPr>
                    <w:widowControl/>
                    <w:autoSpaceDE/>
                    <w:autoSpaceDN/>
                    <w:adjustRightInd/>
                    <w:ind w:firstLine="0" w:firstLineChars="0"/>
                    <w:jc w:val="both"/>
                    <w:textAlignment w:val="baseline"/>
                    <w:rPr>
                      <w:color w:val="000000" w:themeColor="text1"/>
                      <w:szCs w:val="21"/>
                    </w:rPr>
                  </w:pPr>
                  <w:r>
                    <w:rPr>
                      <w:rFonts w:hint="eastAsia"/>
                      <w:color w:val="000000"/>
                      <w:szCs w:val="21"/>
                    </w:rPr>
                    <w:t>公务卡推行对我省高校财务管理的影响研究</w:t>
                  </w:r>
                </w:p>
              </w:tc>
              <w:tc>
                <w:tcPr>
                  <w:tcW w:w="2271" w:type="dxa"/>
                  <w:gridSpan w:val="2"/>
                  <w:vAlign w:val="center"/>
                </w:tcPr>
                <w:p>
                  <w:pPr>
                    <w:widowControl/>
                    <w:autoSpaceDE/>
                    <w:autoSpaceDN/>
                    <w:adjustRightInd/>
                    <w:ind w:firstLine="0" w:firstLineChars="0"/>
                    <w:jc w:val="both"/>
                    <w:textAlignment w:val="baseline"/>
                    <w:rPr>
                      <w:color w:val="000000" w:themeColor="text1"/>
                      <w:szCs w:val="21"/>
                    </w:rPr>
                  </w:pPr>
                  <w:r>
                    <w:rPr>
                      <w:rFonts w:hint="eastAsia"/>
                      <w:color w:val="000000" w:themeColor="text1"/>
                      <w:szCs w:val="21"/>
                    </w:rPr>
                    <w:t>浙江省教育会计学会项目</w:t>
                  </w:r>
                </w:p>
              </w:tc>
              <w:tc>
                <w:tcPr>
                  <w:tcW w:w="1147" w:type="dxa"/>
                  <w:vAlign w:val="center"/>
                </w:tcPr>
                <w:p>
                  <w:pPr>
                    <w:widowControl/>
                    <w:autoSpaceDE/>
                    <w:autoSpaceDN/>
                    <w:adjustRightInd/>
                    <w:ind w:firstLine="0" w:firstLineChars="0"/>
                    <w:jc w:val="center"/>
                    <w:textAlignment w:val="baseline"/>
                    <w:rPr>
                      <w:rFonts w:eastAsia="仿宋_GB2312"/>
                      <w:b/>
                      <w:color w:val="000000"/>
                      <w:szCs w:val="21"/>
                      <w:u w:color="000000"/>
                    </w:rPr>
                  </w:pPr>
                  <w:r>
                    <w:rPr>
                      <w:rFonts w:hint="eastAsia" w:eastAsia="仿宋_GB2312"/>
                      <w:b/>
                      <w:color w:val="000000"/>
                      <w:szCs w:val="21"/>
                      <w:u w:color="000000"/>
                    </w:rPr>
                    <w:t>参与</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jc w:val="center"/>
              </w:trPr>
              <w:tc>
                <w:tcPr>
                  <w:tcW w:w="672" w:type="dxa"/>
                  <w:tcBorders>
                    <w:left w:val="nil"/>
                    <w:right w:val="nil"/>
                    <w:insideV w:val="nil"/>
                  </w:tcBorders>
                  <w:shd w:val="clear" w:color="auto" w:fill="BFBFBF" w:themeFill="text1" w:themeFillTint="3F"/>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9</w:t>
                  </w:r>
                </w:p>
              </w:tc>
              <w:tc>
                <w:tcPr>
                  <w:tcW w:w="4116" w:type="dxa"/>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color w:val="000000" w:themeColor="text1"/>
                      <w:szCs w:val="21"/>
                    </w:rPr>
                  </w:pPr>
                  <w:r>
                    <w:rPr>
                      <w:rFonts w:hint="eastAsia"/>
                      <w:color w:val="000000"/>
                      <w:szCs w:val="21"/>
                    </w:rPr>
                    <w:t>高校后勤企业推行财务预算管理的研究</w:t>
                  </w:r>
                </w:p>
              </w:tc>
              <w:tc>
                <w:tcPr>
                  <w:tcW w:w="2271" w:type="dxa"/>
                  <w:gridSpan w:val="2"/>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color w:val="000000" w:themeColor="text1"/>
                      <w:szCs w:val="21"/>
                    </w:rPr>
                  </w:pPr>
                  <w:r>
                    <w:rPr>
                      <w:rFonts w:hint="eastAsia"/>
                      <w:color w:val="000000" w:themeColor="text1"/>
                      <w:szCs w:val="21"/>
                    </w:rPr>
                    <w:t>浙江省教育会计学会项目</w:t>
                  </w:r>
                </w:p>
              </w:tc>
              <w:tc>
                <w:tcPr>
                  <w:tcW w:w="1147" w:type="dxa"/>
                  <w:tcBorders>
                    <w:right w:val="nil"/>
                    <w:insideV w:val="nil"/>
                  </w:tcBorders>
                  <w:shd w:val="clear" w:color="auto" w:fill="BFBFBF" w:themeFill="text1" w:themeFillTint="3F"/>
                  <w:vAlign w:val="center"/>
                </w:tcPr>
                <w:p>
                  <w:pPr>
                    <w:widowControl/>
                    <w:autoSpaceDE/>
                    <w:autoSpaceDN/>
                    <w:adjustRightInd/>
                    <w:ind w:firstLine="0" w:firstLineChars="0"/>
                    <w:jc w:val="center"/>
                    <w:textAlignment w:val="baseline"/>
                    <w:rPr>
                      <w:rFonts w:eastAsia="仿宋_GB2312"/>
                      <w:b/>
                      <w:color w:val="000000"/>
                      <w:szCs w:val="21"/>
                      <w:u w:color="000000"/>
                    </w:rPr>
                  </w:pPr>
                  <w:r>
                    <w:rPr>
                      <w:rFonts w:hint="eastAsia" w:eastAsia="仿宋_GB2312"/>
                      <w:b/>
                      <w:color w:val="000000"/>
                      <w:szCs w:val="21"/>
                      <w:u w:color="000000"/>
                    </w:rPr>
                    <w:t>主持</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jc w:val="center"/>
              </w:trPr>
              <w:tc>
                <w:tcPr>
                  <w:tcW w:w="672" w:type="dxa"/>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10</w:t>
                  </w:r>
                </w:p>
              </w:tc>
              <w:tc>
                <w:tcPr>
                  <w:tcW w:w="4116" w:type="dxa"/>
                  <w:vAlign w:val="center"/>
                </w:tcPr>
                <w:p>
                  <w:pPr>
                    <w:widowControl/>
                    <w:autoSpaceDE/>
                    <w:autoSpaceDN/>
                    <w:adjustRightInd/>
                    <w:ind w:firstLine="0" w:firstLineChars="0"/>
                    <w:jc w:val="both"/>
                    <w:textAlignment w:val="baseline"/>
                    <w:rPr>
                      <w:color w:val="000000"/>
                      <w:szCs w:val="21"/>
                    </w:rPr>
                  </w:pPr>
                  <w:r>
                    <w:rPr>
                      <w:bCs/>
                      <w:color w:val="000000"/>
                      <w:szCs w:val="21"/>
                    </w:rPr>
                    <w:t>政府购买公共服务的财政绩效评价研究</w:t>
                  </w:r>
                </w:p>
              </w:tc>
              <w:tc>
                <w:tcPr>
                  <w:tcW w:w="2271" w:type="dxa"/>
                  <w:gridSpan w:val="2"/>
                  <w:vAlign w:val="center"/>
                </w:tcPr>
                <w:p>
                  <w:pPr>
                    <w:widowControl/>
                    <w:autoSpaceDE/>
                    <w:autoSpaceDN/>
                    <w:adjustRightInd/>
                    <w:ind w:firstLine="0" w:firstLineChars="0"/>
                    <w:jc w:val="both"/>
                    <w:textAlignment w:val="baseline"/>
                    <w:rPr>
                      <w:color w:val="000000" w:themeColor="text1"/>
                      <w:szCs w:val="21"/>
                    </w:rPr>
                  </w:pPr>
                  <w:r>
                    <w:rPr>
                      <w:rFonts w:hint="eastAsia"/>
                      <w:color w:val="000000" w:themeColor="text1"/>
                      <w:szCs w:val="21"/>
                    </w:rPr>
                    <w:t>杭州市哲学社会科学项目</w:t>
                  </w:r>
                </w:p>
              </w:tc>
              <w:tc>
                <w:tcPr>
                  <w:tcW w:w="1147" w:type="dxa"/>
                  <w:vAlign w:val="center"/>
                </w:tcPr>
                <w:p>
                  <w:pPr>
                    <w:widowControl/>
                    <w:autoSpaceDE/>
                    <w:autoSpaceDN/>
                    <w:adjustRightInd/>
                    <w:ind w:firstLine="0" w:firstLineChars="0"/>
                    <w:jc w:val="center"/>
                    <w:textAlignment w:val="baseline"/>
                    <w:rPr>
                      <w:rFonts w:eastAsia="仿宋_GB2312"/>
                      <w:b/>
                      <w:color w:val="000000"/>
                      <w:szCs w:val="21"/>
                      <w:u w:color="000000"/>
                    </w:rPr>
                  </w:pPr>
                  <w:r>
                    <w:rPr>
                      <w:rFonts w:hint="eastAsia" w:eastAsia="仿宋_GB2312"/>
                      <w:b/>
                      <w:color w:val="000000"/>
                      <w:szCs w:val="21"/>
                      <w:u w:color="000000"/>
                    </w:rPr>
                    <w:t>参与</w:t>
                  </w:r>
                </w:p>
              </w:tc>
            </w:tr>
          </w:tbl>
          <w:p>
            <w:pPr>
              <w:widowControl/>
              <w:autoSpaceDE/>
              <w:autoSpaceDN/>
              <w:adjustRightInd/>
              <w:ind w:firstLine="0" w:firstLineChars="0"/>
              <w:textAlignment w:val="baseline"/>
              <w:rPr>
                <w:rFonts w:ascii="宋体" w:hAnsi="宋体"/>
                <w:szCs w:val="21"/>
              </w:rPr>
            </w:pPr>
          </w:p>
          <w:p>
            <w:pPr>
              <w:widowControl/>
              <w:autoSpaceDE/>
              <w:autoSpaceDN/>
              <w:adjustRightInd/>
              <w:ind w:firstLine="0" w:firstLineChars="0"/>
              <w:textAlignment w:val="baseline"/>
              <w:rPr>
                <w:rFonts w:ascii="宋体" w:hAnsi="宋体"/>
                <w:szCs w:val="21"/>
              </w:rPr>
            </w:pPr>
          </w:p>
          <w:p>
            <w:pPr>
              <w:widowControl/>
              <w:autoSpaceDE/>
              <w:autoSpaceDN/>
              <w:adjustRightInd/>
              <w:ind w:firstLine="0" w:firstLineChars="0"/>
              <w:textAlignment w:val="baseline"/>
              <w:rPr>
                <w:rFonts w:ascii="宋体" w:hAnsi="宋体"/>
                <w:szCs w:val="21"/>
              </w:rPr>
            </w:pPr>
          </w:p>
          <w:p>
            <w:pPr>
              <w:widowControl/>
              <w:autoSpaceDE/>
              <w:autoSpaceDN/>
              <w:adjustRightInd/>
              <w:ind w:firstLine="0" w:firstLineChars="0"/>
              <w:textAlignment w:val="baseline"/>
              <w:rPr>
                <w:rFonts w:ascii="宋体" w:hAnsi="宋体"/>
                <w:szCs w:val="21"/>
              </w:rPr>
            </w:pPr>
            <w:r>
              <w:rPr>
                <w:rFonts w:hint="eastAsia" w:ascii="宋体" w:hAnsi="宋体"/>
                <w:szCs w:val="21"/>
              </w:rPr>
              <w:t>（2）项目组成员所承担的教学改革和科研项目：</w:t>
            </w:r>
          </w:p>
          <w:p>
            <w:pPr>
              <w:widowControl/>
              <w:autoSpaceDE/>
              <w:autoSpaceDN/>
              <w:adjustRightInd/>
              <w:ind w:firstLine="0" w:firstLineChars="0"/>
              <w:textAlignment w:val="baseline"/>
              <w:rPr>
                <w:rFonts w:ascii="宋体" w:hAnsi="宋体"/>
                <w:szCs w:val="21"/>
              </w:rPr>
            </w:pPr>
          </w:p>
          <w:tbl>
            <w:tblPr>
              <w:tblStyle w:val="23"/>
              <w:tblW w:w="8194" w:type="dxa"/>
              <w:jc w:val="center"/>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1"/>
              <w:gridCol w:w="4110"/>
              <w:gridCol w:w="2127"/>
              <w:gridCol w:w="1286"/>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jc w:val="center"/>
              </w:trPr>
              <w:tc>
                <w:tcPr>
                  <w:tcW w:w="671" w:type="dxa"/>
                  <w:tcBorders>
                    <w:top w:val="single" w:color="000000" w:themeColor="text1" w:sz="8" w:space="0"/>
                    <w:left w:val="nil"/>
                    <w:bottom w:val="single" w:color="000000" w:themeColor="text1" w:sz="8" w:space="0"/>
                    <w:right w:val="nil"/>
                    <w:insideH w:val="single" w:sz="8" w:space="0"/>
                    <w:insideV w:val="nil"/>
                  </w:tcBorders>
                  <w:vAlign w:val="center"/>
                </w:tcPr>
                <w:p>
                  <w:pPr>
                    <w:widowControl/>
                    <w:autoSpaceDE/>
                    <w:autoSpaceDN/>
                    <w:adjustRightInd/>
                    <w:spacing w:before="0" w:after="0"/>
                    <w:ind w:firstLine="0" w:firstLineChars="0"/>
                    <w:jc w:val="center"/>
                    <w:textAlignment w:val="baseline"/>
                    <w:rPr>
                      <w:rFonts w:eastAsia="仿宋_GB2312"/>
                      <w:b/>
                      <w:bCs/>
                      <w:color w:val="000000"/>
                      <w:u w:color="000000"/>
                    </w:rPr>
                  </w:pPr>
                  <w:r>
                    <w:rPr>
                      <w:rFonts w:hint="eastAsia" w:eastAsia="仿宋_GB2312"/>
                      <w:b/>
                      <w:bCs/>
                      <w:color w:val="000000"/>
                      <w:u w:color="000000"/>
                    </w:rPr>
                    <w:t>序号</w:t>
                  </w:r>
                </w:p>
              </w:tc>
              <w:tc>
                <w:tcPr>
                  <w:tcW w:w="4110" w:type="dxa"/>
                  <w:tcBorders>
                    <w:top w:val="single" w:color="000000" w:themeColor="text1" w:sz="8" w:space="0"/>
                    <w:bottom w:val="single" w:color="000000" w:themeColor="text1" w:sz="8" w:space="0"/>
                    <w:right w:val="nil"/>
                    <w:insideH w:val="single" w:sz="8" w:space="0"/>
                    <w:insideV w:val="nil"/>
                  </w:tcBorders>
                </w:tcPr>
                <w:p>
                  <w:pPr>
                    <w:widowControl/>
                    <w:autoSpaceDE/>
                    <w:autoSpaceDN/>
                    <w:adjustRightInd/>
                    <w:spacing w:before="0" w:after="0"/>
                    <w:ind w:firstLine="0" w:firstLineChars="0"/>
                    <w:jc w:val="center"/>
                    <w:textAlignment w:val="baseline"/>
                    <w:rPr>
                      <w:rFonts w:eastAsia="仿宋_GB2312"/>
                      <w:b/>
                      <w:bCs/>
                      <w:color w:val="000000"/>
                      <w:u w:color="000000"/>
                    </w:rPr>
                  </w:pPr>
                  <w:r>
                    <w:rPr>
                      <w:rFonts w:hint="eastAsia" w:eastAsia="仿宋_GB2312"/>
                      <w:b/>
                      <w:bCs/>
                      <w:color w:val="000000"/>
                      <w:u w:color="000000"/>
                    </w:rPr>
                    <w:t>项目名称</w:t>
                  </w:r>
                </w:p>
              </w:tc>
              <w:tc>
                <w:tcPr>
                  <w:tcW w:w="2127" w:type="dxa"/>
                  <w:tcBorders>
                    <w:top w:val="single" w:color="000000" w:themeColor="text1" w:sz="8" w:space="0"/>
                    <w:bottom w:val="single" w:color="000000" w:themeColor="text1" w:sz="8" w:space="0"/>
                    <w:right w:val="nil"/>
                    <w:insideH w:val="single" w:sz="8" w:space="0"/>
                    <w:insideV w:val="nil"/>
                  </w:tcBorders>
                </w:tcPr>
                <w:p>
                  <w:pPr>
                    <w:widowControl/>
                    <w:autoSpaceDE/>
                    <w:autoSpaceDN/>
                    <w:adjustRightInd/>
                    <w:spacing w:before="0" w:after="0"/>
                    <w:ind w:firstLine="0" w:firstLineChars="0"/>
                    <w:jc w:val="center"/>
                    <w:textAlignment w:val="baseline"/>
                    <w:rPr>
                      <w:rFonts w:eastAsia="仿宋_GB2312"/>
                      <w:b/>
                      <w:bCs/>
                      <w:color w:val="000000"/>
                      <w:u w:color="000000"/>
                    </w:rPr>
                  </w:pPr>
                  <w:r>
                    <w:rPr>
                      <w:rFonts w:hint="eastAsia" w:eastAsia="仿宋_GB2312"/>
                      <w:b/>
                      <w:bCs/>
                      <w:color w:val="000000"/>
                      <w:u w:color="000000"/>
                    </w:rPr>
                    <w:t>项目来源</w:t>
                  </w:r>
                </w:p>
              </w:tc>
              <w:tc>
                <w:tcPr>
                  <w:tcW w:w="1286" w:type="dxa"/>
                  <w:tcBorders>
                    <w:top w:val="single" w:color="000000" w:themeColor="text1" w:sz="8" w:space="0"/>
                    <w:bottom w:val="single" w:color="000000" w:themeColor="text1" w:sz="8" w:space="0"/>
                    <w:right w:val="nil"/>
                    <w:insideH w:val="single" w:sz="8" w:space="0"/>
                    <w:insideV w:val="nil"/>
                  </w:tcBorders>
                </w:tcPr>
                <w:p>
                  <w:pPr>
                    <w:widowControl/>
                    <w:autoSpaceDE/>
                    <w:autoSpaceDN/>
                    <w:adjustRightInd/>
                    <w:spacing w:before="0" w:after="0"/>
                    <w:ind w:firstLine="0" w:firstLineChars="0"/>
                    <w:jc w:val="center"/>
                    <w:textAlignment w:val="baseline"/>
                    <w:rPr>
                      <w:rFonts w:eastAsia="仿宋_GB2312"/>
                      <w:b/>
                      <w:bCs/>
                      <w:color w:val="000000"/>
                      <w:u w:color="000000"/>
                    </w:rPr>
                  </w:pPr>
                  <w:r>
                    <w:rPr>
                      <w:rFonts w:hint="eastAsia" w:eastAsia="仿宋_GB2312"/>
                      <w:b/>
                      <w:bCs/>
                      <w:color w:val="000000"/>
                      <w:u w:color="000000"/>
                    </w:rPr>
                    <w:t>主持或参与</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jc w:val="center"/>
              </w:trPr>
              <w:tc>
                <w:tcPr>
                  <w:tcW w:w="671" w:type="dxa"/>
                  <w:tcBorders>
                    <w:left w:val="nil"/>
                    <w:right w:val="nil"/>
                    <w:insideV w:val="nil"/>
                  </w:tcBorders>
                  <w:shd w:val="clear" w:color="auto" w:fill="BFBFBF" w:themeFill="text1" w:themeFillTint="3F"/>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1</w:t>
                  </w:r>
                </w:p>
              </w:tc>
              <w:tc>
                <w:tcPr>
                  <w:tcW w:w="4110" w:type="dxa"/>
                  <w:tcBorders>
                    <w:right w:val="nil"/>
                    <w:insideV w:val="nil"/>
                  </w:tcBorders>
                  <w:shd w:val="clear" w:color="auto" w:fill="BFBFBF" w:themeFill="text1" w:themeFillTint="3F"/>
                  <w:tcMar>
                    <w:left w:w="28" w:type="dxa"/>
                    <w:right w:w="28" w:type="dxa"/>
                  </w:tcMar>
                  <w:vAlign w:val="center"/>
                </w:tcPr>
                <w:p>
                  <w:pPr>
                    <w:widowControl/>
                    <w:autoSpaceDE/>
                    <w:autoSpaceDN/>
                    <w:adjustRightInd/>
                    <w:ind w:firstLine="0" w:firstLineChars="0"/>
                    <w:jc w:val="both"/>
                    <w:textAlignment w:val="baseline"/>
                    <w:rPr>
                      <w:rFonts w:eastAsia="仿宋_GB2312"/>
                      <w:color w:val="000000"/>
                      <w:szCs w:val="21"/>
                      <w:u w:color="000000"/>
                    </w:rPr>
                  </w:pPr>
                  <w:r>
                    <w:rPr>
                      <w:rFonts w:hint="eastAsia"/>
                      <w:color w:val="000000"/>
                      <w:szCs w:val="21"/>
                    </w:rPr>
                    <w:t>工商管理被立项为浙江省“十三五”重点/特色专业</w:t>
                  </w:r>
                </w:p>
              </w:tc>
              <w:tc>
                <w:tcPr>
                  <w:tcW w:w="2127" w:type="dxa"/>
                  <w:tcBorders>
                    <w:right w:val="nil"/>
                    <w:insideV w:val="nil"/>
                  </w:tcBorders>
                  <w:shd w:val="clear" w:color="auto" w:fill="BFBFBF" w:themeFill="text1" w:themeFillTint="3F"/>
                  <w:vAlign w:val="center"/>
                </w:tcPr>
                <w:p>
                  <w:pPr>
                    <w:widowControl/>
                    <w:autoSpaceDE/>
                    <w:autoSpaceDN/>
                    <w:adjustRightInd/>
                    <w:ind w:firstLine="210" w:firstLineChars="100"/>
                    <w:jc w:val="both"/>
                    <w:textAlignment w:val="baseline"/>
                    <w:rPr>
                      <w:rFonts w:eastAsia="仿宋_GB2312"/>
                      <w:color w:val="000000"/>
                      <w:szCs w:val="21"/>
                      <w:u w:color="000000"/>
                    </w:rPr>
                  </w:pPr>
                  <w:r>
                    <w:rPr>
                      <w:rFonts w:hint="eastAsia"/>
                      <w:color w:val="000000" w:themeColor="text1"/>
                      <w:szCs w:val="21"/>
                    </w:rPr>
                    <w:t>浙江省教育厅</w:t>
                  </w:r>
                </w:p>
              </w:tc>
              <w:tc>
                <w:tcPr>
                  <w:tcW w:w="1286" w:type="dxa"/>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rFonts w:eastAsia="仿宋_GB2312"/>
                      <w:b/>
                      <w:color w:val="000000"/>
                      <w:szCs w:val="21"/>
                      <w:u w:color="000000"/>
                    </w:rPr>
                  </w:pPr>
                  <w:r>
                    <w:rPr>
                      <w:rFonts w:hint="eastAsia"/>
                      <w:b/>
                      <w:color w:val="000000"/>
                      <w:szCs w:val="21"/>
                    </w:rPr>
                    <w:t>卜庆军</w:t>
                  </w:r>
                  <w:r>
                    <w:rPr>
                      <w:rFonts w:hint="eastAsia" w:eastAsia="仿宋_GB2312"/>
                      <w:b/>
                      <w:color w:val="000000"/>
                      <w:szCs w:val="21"/>
                      <w:u w:color="000000"/>
                    </w:rPr>
                    <w:t>主持</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jc w:val="center"/>
              </w:trPr>
              <w:tc>
                <w:tcPr>
                  <w:tcW w:w="671" w:type="dxa"/>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2</w:t>
                  </w:r>
                </w:p>
              </w:tc>
              <w:tc>
                <w:tcPr>
                  <w:tcW w:w="4110" w:type="dxa"/>
                  <w:tcMar>
                    <w:left w:w="28" w:type="dxa"/>
                  </w:tcMar>
                  <w:vAlign w:val="center"/>
                </w:tcPr>
                <w:p>
                  <w:pPr>
                    <w:widowControl/>
                    <w:autoSpaceDE/>
                    <w:autoSpaceDN/>
                    <w:adjustRightInd/>
                    <w:ind w:firstLine="0" w:firstLineChars="0"/>
                    <w:jc w:val="both"/>
                    <w:textAlignment w:val="baseline"/>
                    <w:rPr>
                      <w:rFonts w:eastAsia="仿宋_GB2312"/>
                      <w:color w:val="000000"/>
                      <w:szCs w:val="21"/>
                      <w:u w:color="000000"/>
                    </w:rPr>
                  </w:pPr>
                  <w:r>
                    <w:rPr>
                      <w:rFonts w:hint="eastAsia"/>
                      <w:color w:val="000000"/>
                      <w:szCs w:val="21"/>
                    </w:rPr>
                    <w:t>浙江省重点建设教材《企业信用管理》</w:t>
                  </w:r>
                </w:p>
              </w:tc>
              <w:tc>
                <w:tcPr>
                  <w:tcW w:w="2127" w:type="dxa"/>
                  <w:vAlign w:val="center"/>
                </w:tcPr>
                <w:p>
                  <w:pPr>
                    <w:widowControl/>
                    <w:autoSpaceDE/>
                    <w:autoSpaceDN/>
                    <w:adjustRightInd/>
                    <w:ind w:firstLine="210" w:firstLineChars="100"/>
                    <w:jc w:val="both"/>
                    <w:textAlignment w:val="baseline"/>
                    <w:rPr>
                      <w:rFonts w:eastAsia="仿宋_GB2312"/>
                      <w:color w:val="000000"/>
                      <w:szCs w:val="21"/>
                      <w:u w:color="000000"/>
                    </w:rPr>
                  </w:pPr>
                  <w:r>
                    <w:rPr>
                      <w:rFonts w:hint="eastAsia"/>
                      <w:color w:val="000000" w:themeColor="text1"/>
                      <w:szCs w:val="21"/>
                    </w:rPr>
                    <w:t>浙江省教育厅</w:t>
                  </w:r>
                </w:p>
              </w:tc>
              <w:tc>
                <w:tcPr>
                  <w:tcW w:w="1286" w:type="dxa"/>
                  <w:vAlign w:val="center"/>
                </w:tcPr>
                <w:p>
                  <w:pPr>
                    <w:widowControl/>
                    <w:autoSpaceDE/>
                    <w:autoSpaceDN/>
                    <w:adjustRightInd/>
                    <w:ind w:firstLine="0" w:firstLineChars="0"/>
                    <w:jc w:val="both"/>
                    <w:textAlignment w:val="baseline"/>
                    <w:rPr>
                      <w:rFonts w:eastAsia="仿宋_GB2312"/>
                      <w:b/>
                      <w:color w:val="000000"/>
                      <w:szCs w:val="21"/>
                      <w:u w:color="000000"/>
                    </w:rPr>
                  </w:pPr>
                  <w:r>
                    <w:rPr>
                      <w:rFonts w:hint="eastAsia"/>
                      <w:b/>
                      <w:color w:val="000000"/>
                      <w:szCs w:val="21"/>
                    </w:rPr>
                    <w:t>卜庆军</w:t>
                  </w:r>
                  <w:r>
                    <w:rPr>
                      <w:rFonts w:hint="eastAsia" w:eastAsia="仿宋_GB2312"/>
                      <w:b/>
                      <w:color w:val="000000"/>
                      <w:szCs w:val="21"/>
                      <w:u w:color="000000"/>
                    </w:rPr>
                    <w:t>主持</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671" w:type="dxa"/>
                  <w:tcBorders>
                    <w:left w:val="nil"/>
                    <w:right w:val="nil"/>
                    <w:insideV w:val="nil"/>
                  </w:tcBorders>
                  <w:shd w:val="clear" w:color="auto" w:fill="BFBFBF" w:themeFill="text1" w:themeFillTint="3F"/>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3</w:t>
                  </w:r>
                </w:p>
              </w:tc>
              <w:tc>
                <w:tcPr>
                  <w:tcW w:w="4110" w:type="dxa"/>
                  <w:tcBorders>
                    <w:right w:val="nil"/>
                    <w:insideV w:val="nil"/>
                  </w:tcBorders>
                  <w:shd w:val="clear" w:color="auto" w:fill="BFBFBF" w:themeFill="text1" w:themeFillTint="3F"/>
                  <w:tcMar>
                    <w:left w:w="28" w:type="dxa"/>
                    <w:right w:w="28" w:type="dxa"/>
                  </w:tcMar>
                  <w:vAlign w:val="center"/>
                </w:tcPr>
                <w:p>
                  <w:pPr>
                    <w:widowControl/>
                    <w:autoSpaceDE/>
                    <w:autoSpaceDN/>
                    <w:adjustRightInd/>
                    <w:ind w:firstLine="0" w:firstLineChars="0"/>
                    <w:jc w:val="both"/>
                    <w:textAlignment w:val="baseline"/>
                    <w:rPr>
                      <w:rFonts w:eastAsia="仿宋_GB2312"/>
                      <w:color w:val="000000"/>
                      <w:szCs w:val="21"/>
                      <w:u w:color="000000"/>
                    </w:rPr>
                  </w:pPr>
                  <w:r>
                    <w:rPr>
                      <w:rFonts w:hint="eastAsia"/>
                      <w:color w:val="000000"/>
                      <w:szCs w:val="21"/>
                    </w:rPr>
                    <w:t>基于创新和实践能力培养的《投资学》课堂教学改革</w:t>
                  </w:r>
                </w:p>
              </w:tc>
              <w:tc>
                <w:tcPr>
                  <w:tcW w:w="2127" w:type="dxa"/>
                  <w:tcBorders>
                    <w:right w:val="nil"/>
                    <w:insideV w:val="nil"/>
                  </w:tcBorders>
                  <w:shd w:val="clear" w:color="auto" w:fill="BFBFBF" w:themeFill="text1" w:themeFillTint="3F"/>
                  <w:vAlign w:val="center"/>
                </w:tcPr>
                <w:p>
                  <w:pPr>
                    <w:widowControl/>
                    <w:autoSpaceDE/>
                    <w:autoSpaceDN/>
                    <w:adjustRightInd/>
                    <w:ind w:firstLine="210" w:firstLineChars="100"/>
                    <w:jc w:val="both"/>
                    <w:textAlignment w:val="baseline"/>
                    <w:rPr>
                      <w:rFonts w:eastAsia="仿宋_GB2312"/>
                      <w:color w:val="000000"/>
                      <w:szCs w:val="21"/>
                      <w:u w:color="000000"/>
                    </w:rPr>
                  </w:pPr>
                  <w:r>
                    <w:rPr>
                      <w:rFonts w:hint="eastAsia"/>
                      <w:color w:val="000000" w:themeColor="text1"/>
                      <w:szCs w:val="21"/>
                    </w:rPr>
                    <w:t>浙江省教育厅</w:t>
                  </w:r>
                </w:p>
              </w:tc>
              <w:tc>
                <w:tcPr>
                  <w:tcW w:w="1286" w:type="dxa"/>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rFonts w:eastAsia="仿宋_GB2312"/>
                      <w:b/>
                      <w:color w:val="000000"/>
                      <w:szCs w:val="21"/>
                      <w:u w:color="000000"/>
                    </w:rPr>
                  </w:pPr>
                  <w:r>
                    <w:rPr>
                      <w:rFonts w:hint="eastAsia"/>
                      <w:b/>
                      <w:color w:val="000000"/>
                      <w:szCs w:val="21"/>
                    </w:rPr>
                    <w:t>卜庆军</w:t>
                  </w:r>
                  <w:r>
                    <w:rPr>
                      <w:rFonts w:hint="eastAsia" w:eastAsia="仿宋_GB2312"/>
                      <w:b/>
                      <w:color w:val="000000"/>
                      <w:szCs w:val="21"/>
                      <w:u w:color="000000"/>
                    </w:rPr>
                    <w:t>主持</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671" w:type="dxa"/>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4</w:t>
                  </w:r>
                </w:p>
              </w:tc>
              <w:tc>
                <w:tcPr>
                  <w:tcW w:w="4110" w:type="dxa"/>
                  <w:tcMar>
                    <w:left w:w="28" w:type="dxa"/>
                  </w:tcMar>
                  <w:vAlign w:val="center"/>
                </w:tcPr>
                <w:p>
                  <w:pPr>
                    <w:widowControl/>
                    <w:autoSpaceDE/>
                    <w:autoSpaceDN/>
                    <w:adjustRightInd/>
                    <w:ind w:firstLine="0" w:firstLineChars="0"/>
                    <w:jc w:val="both"/>
                    <w:textAlignment w:val="baseline"/>
                    <w:rPr>
                      <w:color w:val="000000" w:themeColor="text1"/>
                      <w:szCs w:val="21"/>
                    </w:rPr>
                  </w:pPr>
                  <w:r>
                    <w:rPr>
                      <w:rFonts w:hint="eastAsia"/>
                      <w:color w:val="000000"/>
                      <w:szCs w:val="21"/>
                    </w:rPr>
                    <w:t>面向产学研的经管专业开放式实验室建设研究</w:t>
                  </w:r>
                </w:p>
              </w:tc>
              <w:tc>
                <w:tcPr>
                  <w:tcW w:w="2127" w:type="dxa"/>
                  <w:vAlign w:val="center"/>
                </w:tcPr>
                <w:p>
                  <w:pPr>
                    <w:widowControl/>
                    <w:autoSpaceDE/>
                    <w:autoSpaceDN/>
                    <w:adjustRightInd/>
                    <w:ind w:firstLine="210" w:firstLineChars="100"/>
                    <w:jc w:val="both"/>
                    <w:textAlignment w:val="baseline"/>
                    <w:rPr>
                      <w:color w:val="000000" w:themeColor="text1"/>
                      <w:szCs w:val="21"/>
                    </w:rPr>
                  </w:pPr>
                  <w:r>
                    <w:rPr>
                      <w:rFonts w:hint="eastAsia"/>
                      <w:color w:val="000000" w:themeColor="text1"/>
                      <w:szCs w:val="21"/>
                    </w:rPr>
                    <w:t>浙江省教育厅</w:t>
                  </w:r>
                </w:p>
              </w:tc>
              <w:tc>
                <w:tcPr>
                  <w:tcW w:w="1286" w:type="dxa"/>
                  <w:vAlign w:val="center"/>
                </w:tcPr>
                <w:p>
                  <w:pPr>
                    <w:widowControl/>
                    <w:autoSpaceDE/>
                    <w:autoSpaceDN/>
                    <w:adjustRightInd/>
                    <w:ind w:firstLine="0" w:firstLineChars="0"/>
                    <w:jc w:val="both"/>
                    <w:textAlignment w:val="baseline"/>
                    <w:rPr>
                      <w:rFonts w:eastAsia="仿宋_GB2312"/>
                      <w:b/>
                      <w:color w:val="000000"/>
                      <w:szCs w:val="21"/>
                      <w:u w:color="000000"/>
                    </w:rPr>
                  </w:pPr>
                  <w:r>
                    <w:rPr>
                      <w:rFonts w:hint="eastAsia"/>
                      <w:b/>
                      <w:color w:val="000000"/>
                      <w:szCs w:val="21"/>
                    </w:rPr>
                    <w:t>卜庆军</w:t>
                  </w:r>
                  <w:r>
                    <w:rPr>
                      <w:rFonts w:hint="eastAsia" w:eastAsia="仿宋_GB2312"/>
                      <w:b/>
                      <w:color w:val="000000"/>
                      <w:szCs w:val="21"/>
                      <w:u w:color="000000"/>
                    </w:rPr>
                    <w:t>参与</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671" w:type="dxa"/>
                  <w:tcBorders>
                    <w:left w:val="nil"/>
                    <w:right w:val="nil"/>
                    <w:insideV w:val="nil"/>
                  </w:tcBorders>
                  <w:shd w:val="clear" w:color="auto" w:fill="BFBFBF" w:themeFill="text1" w:themeFillTint="3F"/>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5</w:t>
                  </w:r>
                </w:p>
              </w:tc>
              <w:tc>
                <w:tcPr>
                  <w:tcW w:w="4110" w:type="dxa"/>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color w:val="000000"/>
                      <w:szCs w:val="21"/>
                    </w:rPr>
                  </w:pPr>
                  <w:r>
                    <w:rPr>
                      <w:rFonts w:hint="eastAsia"/>
                      <w:color w:val="000000"/>
                      <w:szCs w:val="21"/>
                    </w:rPr>
                    <w:t>《管理学》精品课程</w:t>
                  </w:r>
                </w:p>
              </w:tc>
              <w:tc>
                <w:tcPr>
                  <w:tcW w:w="2127" w:type="dxa"/>
                  <w:tcBorders>
                    <w:right w:val="nil"/>
                    <w:insideV w:val="nil"/>
                  </w:tcBorders>
                  <w:shd w:val="clear" w:color="auto" w:fill="BFBFBF" w:themeFill="text1" w:themeFillTint="3F"/>
                  <w:vAlign w:val="center"/>
                </w:tcPr>
                <w:p>
                  <w:pPr>
                    <w:widowControl/>
                    <w:autoSpaceDE/>
                    <w:autoSpaceDN/>
                    <w:adjustRightInd/>
                    <w:ind w:firstLine="210" w:firstLineChars="100"/>
                    <w:jc w:val="both"/>
                    <w:textAlignment w:val="baseline"/>
                    <w:rPr>
                      <w:rFonts w:eastAsia="仿宋_GB2312"/>
                      <w:color w:val="000000"/>
                      <w:szCs w:val="21"/>
                      <w:u w:color="000000"/>
                    </w:rPr>
                  </w:pPr>
                  <w:r>
                    <w:rPr>
                      <w:rFonts w:hint="eastAsia"/>
                      <w:color w:val="000000" w:themeColor="text1"/>
                      <w:szCs w:val="21"/>
                    </w:rPr>
                    <w:t>绍兴市教育局</w:t>
                  </w:r>
                </w:p>
              </w:tc>
              <w:tc>
                <w:tcPr>
                  <w:tcW w:w="1286" w:type="dxa"/>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rFonts w:eastAsia="仿宋_GB2312"/>
                      <w:b/>
                      <w:color w:val="000000"/>
                      <w:szCs w:val="21"/>
                      <w:u w:color="000000"/>
                    </w:rPr>
                  </w:pPr>
                  <w:r>
                    <w:rPr>
                      <w:rFonts w:hint="eastAsia"/>
                      <w:b/>
                      <w:color w:val="000000"/>
                      <w:szCs w:val="21"/>
                    </w:rPr>
                    <w:t>卜庆军</w:t>
                  </w:r>
                  <w:r>
                    <w:rPr>
                      <w:rFonts w:hint="eastAsia" w:eastAsia="仿宋_GB2312"/>
                      <w:b/>
                      <w:color w:val="000000"/>
                      <w:szCs w:val="21"/>
                      <w:u w:color="000000"/>
                    </w:rPr>
                    <w:t>主持</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671" w:type="dxa"/>
                  <w:vAlign w:val="center"/>
                </w:tcPr>
                <w:p>
                  <w:pPr>
                    <w:widowControl/>
                    <w:autoSpaceDE/>
                    <w:autoSpaceDN/>
                    <w:adjustRightInd/>
                    <w:ind w:firstLine="0" w:firstLineChars="0"/>
                    <w:jc w:val="center"/>
                    <w:textAlignment w:val="baseline"/>
                    <w:rPr>
                      <w:b w:val="0"/>
                      <w:bCs w:val="0"/>
                      <w:color w:val="000000" w:themeColor="text1"/>
                      <w:szCs w:val="21"/>
                    </w:rPr>
                  </w:pPr>
                  <w:r>
                    <w:rPr>
                      <w:rFonts w:hint="eastAsia" w:eastAsia="仿宋_GB2312"/>
                      <w:b/>
                      <w:bCs/>
                      <w:color w:val="000000"/>
                      <w:szCs w:val="21"/>
                      <w:u w:color="000000"/>
                    </w:rPr>
                    <w:t>6</w:t>
                  </w:r>
                </w:p>
              </w:tc>
              <w:tc>
                <w:tcPr>
                  <w:tcW w:w="4110" w:type="dxa"/>
                  <w:vAlign w:val="center"/>
                </w:tcPr>
                <w:p>
                  <w:pPr>
                    <w:widowControl/>
                    <w:autoSpaceDE/>
                    <w:autoSpaceDN/>
                    <w:adjustRightInd/>
                    <w:ind w:firstLine="0" w:firstLineChars="0"/>
                    <w:jc w:val="both"/>
                    <w:textAlignment w:val="baseline"/>
                    <w:rPr>
                      <w:color w:val="000000" w:themeColor="text1"/>
                      <w:szCs w:val="21"/>
                    </w:rPr>
                  </w:pPr>
                  <w:r>
                    <w:rPr>
                      <w:rFonts w:hint="eastAsia"/>
                      <w:color w:val="000000"/>
                      <w:szCs w:val="21"/>
                    </w:rPr>
                    <w:t>基于核心竞争力培育的虚拟产业集群研究</w:t>
                  </w:r>
                </w:p>
              </w:tc>
              <w:tc>
                <w:tcPr>
                  <w:tcW w:w="2127" w:type="dxa"/>
                  <w:tcMar>
                    <w:right w:w="0" w:type="dxa"/>
                  </w:tcMar>
                  <w:vAlign w:val="center"/>
                </w:tcPr>
                <w:p>
                  <w:pPr>
                    <w:widowControl/>
                    <w:autoSpaceDE/>
                    <w:autoSpaceDN/>
                    <w:adjustRightInd/>
                    <w:ind w:left="210" w:leftChars="100" w:firstLine="0" w:firstLineChars="0"/>
                    <w:jc w:val="both"/>
                    <w:textAlignment w:val="baseline"/>
                    <w:rPr>
                      <w:color w:val="000000" w:themeColor="text1"/>
                      <w:szCs w:val="21"/>
                    </w:rPr>
                  </w:pPr>
                  <w:r>
                    <w:rPr>
                      <w:rFonts w:hint="eastAsia"/>
                      <w:color w:val="000000" w:themeColor="text1"/>
                      <w:szCs w:val="21"/>
                    </w:rPr>
                    <w:t>省哲学社会科学规划办</w:t>
                  </w:r>
                </w:p>
              </w:tc>
              <w:tc>
                <w:tcPr>
                  <w:tcW w:w="1286" w:type="dxa"/>
                  <w:vAlign w:val="center"/>
                </w:tcPr>
                <w:p>
                  <w:pPr>
                    <w:widowControl/>
                    <w:autoSpaceDE/>
                    <w:autoSpaceDN/>
                    <w:adjustRightInd/>
                    <w:ind w:firstLine="0" w:firstLineChars="0"/>
                    <w:jc w:val="both"/>
                    <w:textAlignment w:val="baseline"/>
                    <w:rPr>
                      <w:rFonts w:eastAsia="仿宋_GB2312"/>
                      <w:color w:val="000000"/>
                      <w:szCs w:val="21"/>
                      <w:u w:color="000000"/>
                    </w:rPr>
                  </w:pPr>
                  <w:r>
                    <w:rPr>
                      <w:rFonts w:hint="eastAsia"/>
                      <w:b/>
                      <w:color w:val="000000"/>
                      <w:szCs w:val="21"/>
                    </w:rPr>
                    <w:t>蒋建华主持</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671" w:type="dxa"/>
                  <w:tcBorders>
                    <w:left w:val="nil"/>
                    <w:right w:val="nil"/>
                    <w:insideV w:val="nil"/>
                  </w:tcBorders>
                  <w:shd w:val="clear" w:color="auto" w:fill="BFBFBF" w:themeFill="text1" w:themeFillTint="3F"/>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7</w:t>
                  </w:r>
                </w:p>
              </w:tc>
              <w:tc>
                <w:tcPr>
                  <w:tcW w:w="4110" w:type="dxa"/>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color w:val="000000" w:themeColor="text1"/>
                      <w:szCs w:val="21"/>
                    </w:rPr>
                  </w:pPr>
                  <w:r>
                    <w:rPr>
                      <w:rFonts w:hint="eastAsia"/>
                      <w:color w:val="000000"/>
                      <w:szCs w:val="21"/>
                    </w:rPr>
                    <w:t>基于社会需求的工程硕士培养体系研究</w:t>
                  </w:r>
                </w:p>
              </w:tc>
              <w:tc>
                <w:tcPr>
                  <w:tcW w:w="2127" w:type="dxa"/>
                  <w:tcBorders>
                    <w:right w:val="nil"/>
                    <w:insideV w:val="nil"/>
                  </w:tcBorders>
                  <w:shd w:val="clear" w:color="auto" w:fill="BFBFBF" w:themeFill="text1" w:themeFillTint="3F"/>
                  <w:vAlign w:val="center"/>
                </w:tcPr>
                <w:p>
                  <w:pPr>
                    <w:widowControl/>
                    <w:autoSpaceDE/>
                    <w:autoSpaceDN/>
                    <w:adjustRightInd/>
                    <w:spacing w:line="240" w:lineRule="auto"/>
                    <w:ind w:left="210" w:leftChars="100" w:firstLine="0" w:firstLineChars="0"/>
                    <w:jc w:val="both"/>
                    <w:textAlignment w:val="baseline"/>
                    <w:rPr>
                      <w:rFonts w:eastAsia="仿宋_GB2312"/>
                      <w:color w:val="000000"/>
                      <w:szCs w:val="21"/>
                      <w:u w:color="000000"/>
                    </w:rPr>
                  </w:pPr>
                  <w:r>
                    <w:rPr>
                      <w:rFonts w:hint="eastAsia"/>
                      <w:color w:val="000000" w:themeColor="text1"/>
                      <w:szCs w:val="21"/>
                    </w:rPr>
                    <w:t>全国工程硕士专业学位教育指导委员会</w:t>
                  </w:r>
                </w:p>
              </w:tc>
              <w:tc>
                <w:tcPr>
                  <w:tcW w:w="1286" w:type="dxa"/>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rFonts w:eastAsia="仿宋_GB2312"/>
                      <w:color w:val="000000"/>
                      <w:szCs w:val="21"/>
                      <w:u w:color="000000"/>
                    </w:rPr>
                  </w:pPr>
                  <w:r>
                    <w:rPr>
                      <w:rFonts w:hint="eastAsia"/>
                      <w:b/>
                      <w:color w:val="000000"/>
                      <w:szCs w:val="21"/>
                    </w:rPr>
                    <w:t>蒋建华主持</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671" w:type="dxa"/>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8</w:t>
                  </w:r>
                </w:p>
              </w:tc>
              <w:tc>
                <w:tcPr>
                  <w:tcW w:w="4110" w:type="dxa"/>
                  <w:vAlign w:val="center"/>
                </w:tcPr>
                <w:p>
                  <w:pPr>
                    <w:widowControl/>
                    <w:autoSpaceDE/>
                    <w:autoSpaceDN/>
                    <w:adjustRightInd/>
                    <w:ind w:firstLine="0" w:firstLineChars="0"/>
                    <w:jc w:val="both"/>
                    <w:textAlignment w:val="baseline"/>
                    <w:rPr>
                      <w:color w:val="000000" w:themeColor="text1"/>
                      <w:szCs w:val="21"/>
                    </w:rPr>
                  </w:pPr>
                  <w:r>
                    <w:rPr>
                      <w:rFonts w:hint="eastAsia"/>
                      <w:color w:val="000000"/>
                      <w:szCs w:val="21"/>
                    </w:rPr>
                    <w:t>浙江恒逸石化股份有限公司组织架构设计</w:t>
                  </w:r>
                </w:p>
              </w:tc>
              <w:tc>
                <w:tcPr>
                  <w:tcW w:w="2127" w:type="dxa"/>
                  <w:tcMar>
                    <w:right w:w="0" w:type="dxa"/>
                  </w:tcMar>
                  <w:vAlign w:val="center"/>
                </w:tcPr>
                <w:p>
                  <w:pPr>
                    <w:widowControl/>
                    <w:autoSpaceDE/>
                    <w:autoSpaceDN/>
                    <w:adjustRightInd/>
                    <w:ind w:firstLine="210" w:firstLineChars="100"/>
                    <w:jc w:val="both"/>
                    <w:textAlignment w:val="baseline"/>
                    <w:rPr>
                      <w:rFonts w:eastAsia="仿宋_GB2312"/>
                      <w:color w:val="000000"/>
                      <w:szCs w:val="21"/>
                      <w:u w:color="000000"/>
                    </w:rPr>
                  </w:pPr>
                  <w:r>
                    <w:rPr>
                      <w:rFonts w:hint="eastAsia"/>
                      <w:color w:val="000000"/>
                      <w:szCs w:val="21"/>
                    </w:rPr>
                    <w:t>浙江恒逸石化</w:t>
                  </w:r>
                </w:p>
              </w:tc>
              <w:tc>
                <w:tcPr>
                  <w:tcW w:w="1286" w:type="dxa"/>
                  <w:vAlign w:val="center"/>
                </w:tcPr>
                <w:p>
                  <w:pPr>
                    <w:widowControl/>
                    <w:autoSpaceDE/>
                    <w:autoSpaceDN/>
                    <w:adjustRightInd/>
                    <w:ind w:firstLine="0" w:firstLineChars="0"/>
                    <w:jc w:val="both"/>
                    <w:textAlignment w:val="baseline"/>
                    <w:rPr>
                      <w:rFonts w:eastAsia="仿宋_GB2312"/>
                      <w:color w:val="000000"/>
                      <w:szCs w:val="21"/>
                      <w:u w:color="000000"/>
                    </w:rPr>
                  </w:pPr>
                  <w:r>
                    <w:rPr>
                      <w:rFonts w:hint="eastAsia"/>
                      <w:b/>
                      <w:color w:val="000000"/>
                      <w:szCs w:val="21"/>
                    </w:rPr>
                    <w:t>蒋建华主持</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671" w:type="dxa"/>
                  <w:tcBorders>
                    <w:left w:val="nil"/>
                    <w:right w:val="nil"/>
                    <w:insideV w:val="nil"/>
                  </w:tcBorders>
                  <w:shd w:val="clear" w:color="auto" w:fill="BFBFBF" w:themeFill="text1" w:themeFillTint="3F"/>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9</w:t>
                  </w:r>
                </w:p>
              </w:tc>
              <w:tc>
                <w:tcPr>
                  <w:tcW w:w="4110" w:type="dxa"/>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color w:val="000000" w:themeColor="text1"/>
                      <w:szCs w:val="21"/>
                    </w:rPr>
                  </w:pPr>
                  <w:r>
                    <w:rPr>
                      <w:rFonts w:hint="eastAsia"/>
                      <w:color w:val="000000"/>
                      <w:szCs w:val="21"/>
                    </w:rPr>
                    <w:t>桐乡市化工产业发展规划</w:t>
                  </w:r>
                </w:p>
              </w:tc>
              <w:tc>
                <w:tcPr>
                  <w:tcW w:w="2127" w:type="dxa"/>
                  <w:tcBorders>
                    <w:right w:val="nil"/>
                    <w:insideV w:val="nil"/>
                  </w:tcBorders>
                  <w:shd w:val="clear" w:color="auto" w:fill="BFBFBF" w:themeFill="text1" w:themeFillTint="3F"/>
                  <w:tcMar>
                    <w:right w:w="0" w:type="dxa"/>
                  </w:tcMar>
                  <w:vAlign w:val="center"/>
                </w:tcPr>
                <w:p>
                  <w:pPr>
                    <w:widowControl/>
                    <w:autoSpaceDE/>
                    <w:autoSpaceDN/>
                    <w:adjustRightInd/>
                    <w:ind w:left="210" w:leftChars="100" w:firstLine="0" w:firstLineChars="0"/>
                    <w:jc w:val="both"/>
                    <w:textAlignment w:val="baseline"/>
                    <w:rPr>
                      <w:rFonts w:eastAsia="仿宋_GB2312"/>
                      <w:color w:val="000000"/>
                      <w:szCs w:val="21"/>
                      <w:u w:color="000000"/>
                    </w:rPr>
                  </w:pPr>
                  <w:r>
                    <w:rPr>
                      <w:rFonts w:hint="eastAsia"/>
                      <w:color w:val="000000" w:themeColor="text1"/>
                      <w:szCs w:val="21"/>
                    </w:rPr>
                    <w:t>桐乡市经济和信息化局</w:t>
                  </w:r>
                </w:p>
              </w:tc>
              <w:tc>
                <w:tcPr>
                  <w:tcW w:w="1286" w:type="dxa"/>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rFonts w:eastAsia="仿宋_GB2312"/>
                      <w:color w:val="000000"/>
                      <w:szCs w:val="21"/>
                      <w:u w:color="000000"/>
                    </w:rPr>
                  </w:pPr>
                  <w:r>
                    <w:rPr>
                      <w:rFonts w:hint="eastAsia"/>
                      <w:b/>
                      <w:color w:val="000000"/>
                      <w:szCs w:val="21"/>
                    </w:rPr>
                    <w:t>蒋建华主持</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671" w:type="dxa"/>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10</w:t>
                  </w:r>
                </w:p>
              </w:tc>
              <w:tc>
                <w:tcPr>
                  <w:tcW w:w="4110" w:type="dxa"/>
                  <w:vAlign w:val="center"/>
                </w:tcPr>
                <w:p>
                  <w:pPr>
                    <w:widowControl/>
                    <w:autoSpaceDE/>
                    <w:autoSpaceDN/>
                    <w:adjustRightInd/>
                    <w:ind w:firstLine="0" w:firstLineChars="0"/>
                    <w:jc w:val="both"/>
                    <w:textAlignment w:val="baseline"/>
                    <w:rPr>
                      <w:color w:val="000000" w:themeColor="text1"/>
                      <w:szCs w:val="21"/>
                    </w:rPr>
                  </w:pPr>
                  <w:r>
                    <w:rPr>
                      <w:rFonts w:hint="eastAsia"/>
                      <w:color w:val="000000" w:themeColor="text1"/>
                      <w:szCs w:val="21"/>
                    </w:rPr>
                    <w:t>高校工资系统优化与流程探讨</w:t>
                  </w:r>
                </w:p>
              </w:tc>
              <w:tc>
                <w:tcPr>
                  <w:tcW w:w="2127" w:type="dxa"/>
                  <w:tcMar>
                    <w:right w:w="0" w:type="dxa"/>
                  </w:tcMar>
                  <w:vAlign w:val="center"/>
                </w:tcPr>
                <w:p>
                  <w:pPr>
                    <w:widowControl/>
                    <w:autoSpaceDE/>
                    <w:autoSpaceDN/>
                    <w:adjustRightInd/>
                    <w:ind w:left="210" w:leftChars="100" w:firstLine="0" w:firstLineChars="0"/>
                    <w:jc w:val="both"/>
                    <w:textAlignment w:val="baseline"/>
                    <w:rPr>
                      <w:color w:val="000000" w:themeColor="text1"/>
                      <w:szCs w:val="21"/>
                    </w:rPr>
                  </w:pPr>
                  <w:r>
                    <w:rPr>
                      <w:rFonts w:hint="eastAsia"/>
                      <w:color w:val="000000" w:themeColor="text1"/>
                      <w:szCs w:val="21"/>
                    </w:rPr>
                    <w:t>浙江工业大学</w:t>
                  </w:r>
                </w:p>
                <w:p>
                  <w:pPr>
                    <w:widowControl/>
                    <w:autoSpaceDE/>
                    <w:autoSpaceDN/>
                    <w:adjustRightInd/>
                    <w:ind w:left="210" w:leftChars="100" w:firstLine="0" w:firstLineChars="0"/>
                    <w:jc w:val="both"/>
                    <w:textAlignment w:val="baseline"/>
                    <w:rPr>
                      <w:rFonts w:eastAsia="仿宋_GB2312"/>
                      <w:color w:val="000000"/>
                      <w:szCs w:val="21"/>
                      <w:u w:color="000000"/>
                    </w:rPr>
                  </w:pPr>
                  <w:r>
                    <w:rPr>
                      <w:rFonts w:hint="eastAsia"/>
                      <w:color w:val="000000" w:themeColor="text1"/>
                      <w:szCs w:val="21"/>
                    </w:rPr>
                    <w:t>校基金</w:t>
                  </w:r>
                </w:p>
              </w:tc>
              <w:tc>
                <w:tcPr>
                  <w:tcW w:w="1286" w:type="dxa"/>
                  <w:vAlign w:val="center"/>
                </w:tcPr>
                <w:p>
                  <w:pPr>
                    <w:widowControl/>
                    <w:autoSpaceDE/>
                    <w:autoSpaceDN/>
                    <w:adjustRightInd/>
                    <w:ind w:firstLine="0" w:firstLineChars="0"/>
                    <w:jc w:val="both"/>
                    <w:textAlignment w:val="baseline"/>
                    <w:rPr>
                      <w:rFonts w:eastAsia="仿宋_GB2312"/>
                      <w:color w:val="000000"/>
                      <w:szCs w:val="21"/>
                      <w:u w:color="000000"/>
                    </w:rPr>
                  </w:pPr>
                  <w:r>
                    <w:rPr>
                      <w:rFonts w:hint="eastAsia"/>
                      <w:b/>
                      <w:color w:val="000000"/>
                      <w:szCs w:val="21"/>
                    </w:rPr>
                    <w:t>方明主持</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671" w:type="dxa"/>
                  <w:tcBorders>
                    <w:left w:val="nil"/>
                    <w:right w:val="nil"/>
                    <w:insideV w:val="nil"/>
                  </w:tcBorders>
                  <w:shd w:val="clear" w:color="auto" w:fill="BFBFBF" w:themeFill="text1" w:themeFillTint="3F"/>
                  <w:vAlign w:val="center"/>
                </w:tcPr>
                <w:p>
                  <w:pPr>
                    <w:widowControl/>
                    <w:autoSpaceDE/>
                    <w:autoSpaceDN/>
                    <w:adjustRightInd/>
                    <w:ind w:firstLine="0" w:firstLineChars="0"/>
                    <w:jc w:val="center"/>
                    <w:textAlignment w:val="baseline"/>
                    <w:rPr>
                      <w:rFonts w:eastAsia="仿宋_GB2312"/>
                      <w:b/>
                      <w:bCs/>
                      <w:color w:val="000000"/>
                      <w:szCs w:val="21"/>
                      <w:u w:color="000000"/>
                    </w:rPr>
                  </w:pPr>
                  <w:r>
                    <w:rPr>
                      <w:rFonts w:hint="eastAsia" w:eastAsia="仿宋_GB2312"/>
                      <w:b/>
                      <w:bCs/>
                      <w:color w:val="000000"/>
                      <w:szCs w:val="21"/>
                      <w:u w:color="000000"/>
                    </w:rPr>
                    <w:t>11</w:t>
                  </w:r>
                </w:p>
              </w:tc>
              <w:tc>
                <w:tcPr>
                  <w:tcW w:w="4110" w:type="dxa"/>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color w:val="000000" w:themeColor="text1"/>
                      <w:szCs w:val="21"/>
                    </w:rPr>
                  </w:pPr>
                  <w:r>
                    <w:rPr>
                      <w:rFonts w:hint="eastAsia"/>
                      <w:color w:val="000000" w:themeColor="text1"/>
                      <w:szCs w:val="21"/>
                    </w:rPr>
                    <w:t>高校实行国库集中支付制度与对策研究</w:t>
                  </w:r>
                </w:p>
              </w:tc>
              <w:tc>
                <w:tcPr>
                  <w:tcW w:w="2127" w:type="dxa"/>
                  <w:tcBorders>
                    <w:right w:val="nil"/>
                    <w:insideV w:val="nil"/>
                  </w:tcBorders>
                  <w:shd w:val="clear" w:color="auto" w:fill="BFBFBF" w:themeFill="text1" w:themeFillTint="3F"/>
                  <w:tcMar>
                    <w:right w:w="0" w:type="dxa"/>
                  </w:tcMar>
                  <w:vAlign w:val="center"/>
                </w:tcPr>
                <w:p>
                  <w:pPr>
                    <w:widowControl/>
                    <w:autoSpaceDE/>
                    <w:autoSpaceDN/>
                    <w:adjustRightInd/>
                    <w:ind w:left="210" w:leftChars="100" w:firstLine="0" w:firstLineChars="0"/>
                    <w:jc w:val="both"/>
                    <w:textAlignment w:val="baseline"/>
                    <w:rPr>
                      <w:color w:val="000000" w:themeColor="text1"/>
                      <w:szCs w:val="21"/>
                    </w:rPr>
                  </w:pPr>
                  <w:r>
                    <w:rPr>
                      <w:rFonts w:hint="eastAsia"/>
                      <w:color w:val="000000" w:themeColor="text1"/>
                      <w:szCs w:val="21"/>
                    </w:rPr>
                    <w:t>浙江工业大学</w:t>
                  </w:r>
                </w:p>
                <w:p>
                  <w:pPr>
                    <w:widowControl/>
                    <w:autoSpaceDE/>
                    <w:autoSpaceDN/>
                    <w:adjustRightInd/>
                    <w:ind w:left="210" w:leftChars="100" w:firstLine="0" w:firstLineChars="0"/>
                    <w:jc w:val="both"/>
                    <w:textAlignment w:val="baseline"/>
                    <w:rPr>
                      <w:rFonts w:eastAsia="仿宋_GB2312"/>
                      <w:color w:val="000000"/>
                      <w:szCs w:val="21"/>
                      <w:u w:color="000000"/>
                    </w:rPr>
                  </w:pPr>
                  <w:r>
                    <w:rPr>
                      <w:rFonts w:hint="eastAsia"/>
                      <w:color w:val="000000" w:themeColor="text1"/>
                      <w:szCs w:val="21"/>
                    </w:rPr>
                    <w:t>校基金</w:t>
                  </w:r>
                </w:p>
              </w:tc>
              <w:tc>
                <w:tcPr>
                  <w:tcW w:w="1286" w:type="dxa"/>
                  <w:tcBorders>
                    <w:right w:val="nil"/>
                    <w:insideV w:val="nil"/>
                  </w:tcBorders>
                  <w:shd w:val="clear" w:color="auto" w:fill="BFBFBF" w:themeFill="text1" w:themeFillTint="3F"/>
                  <w:vAlign w:val="center"/>
                </w:tcPr>
                <w:p>
                  <w:pPr>
                    <w:widowControl/>
                    <w:autoSpaceDE/>
                    <w:autoSpaceDN/>
                    <w:adjustRightInd/>
                    <w:ind w:firstLine="0" w:firstLineChars="0"/>
                    <w:jc w:val="both"/>
                    <w:textAlignment w:val="baseline"/>
                    <w:rPr>
                      <w:rFonts w:eastAsia="仿宋_GB2312"/>
                      <w:color w:val="000000"/>
                      <w:szCs w:val="21"/>
                      <w:u w:color="000000"/>
                    </w:rPr>
                  </w:pPr>
                  <w:r>
                    <w:rPr>
                      <w:rFonts w:hint="eastAsia"/>
                      <w:b/>
                      <w:color w:val="000000"/>
                      <w:szCs w:val="21"/>
                    </w:rPr>
                    <w:t>方明参与</w:t>
                  </w:r>
                </w:p>
              </w:tc>
            </w:tr>
          </w:tbl>
          <w:p>
            <w:pPr>
              <w:rPr>
                <w:rFonts w:eastAsia="仿宋_GB2312"/>
                <w:color w:val="000000"/>
                <w:u w:color="000000"/>
              </w:rPr>
            </w:pPr>
          </w:p>
        </w:tc>
      </w:tr>
    </w:tbl>
    <w:p>
      <w:pPr>
        <w:widowControl/>
        <w:autoSpaceDE/>
        <w:autoSpaceDN/>
        <w:adjustRightInd/>
        <w:spacing w:line="640" w:lineRule="atLeast"/>
        <w:ind w:firstLine="0" w:firstLineChars="0"/>
        <w:jc w:val="both"/>
        <w:textAlignment w:val="baseline"/>
        <w:rPr>
          <w:rFonts w:hint="eastAsia" w:eastAsia="仿宋_GB2312"/>
          <w:color w:val="000000"/>
          <w:sz w:val="28"/>
          <w:u w:color="000000"/>
        </w:rPr>
      </w:pPr>
    </w:p>
    <w:p>
      <w:pPr>
        <w:widowControl/>
        <w:autoSpaceDE/>
        <w:autoSpaceDN/>
        <w:adjustRightInd/>
        <w:spacing w:line="640" w:lineRule="atLeast"/>
        <w:ind w:firstLine="0" w:firstLineChars="0"/>
        <w:jc w:val="both"/>
        <w:textAlignment w:val="baseline"/>
        <w:rPr>
          <w:rFonts w:eastAsia="仿宋_GB2312"/>
          <w:color w:val="000000"/>
          <w:sz w:val="28"/>
          <w:u w:color="000000"/>
        </w:rPr>
      </w:pPr>
      <w:bookmarkStart w:id="0" w:name="_GoBack"/>
      <w:bookmarkEnd w:id="0"/>
      <w:r>
        <w:rPr>
          <w:rFonts w:hint="eastAsia" w:eastAsia="仿宋_GB2312"/>
          <w:color w:val="000000"/>
          <w:sz w:val="28"/>
          <w:u w:color="000000"/>
        </w:rPr>
        <w:t>五、经费预算</w:t>
      </w:r>
    </w:p>
    <w:tbl>
      <w:tblPr>
        <w:tblStyle w:val="11"/>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062"/>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支出科目</w:t>
            </w:r>
          </w:p>
        </w:tc>
        <w:tc>
          <w:tcPr>
            <w:tcW w:w="2062" w:type="dxa"/>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金额（元）</w:t>
            </w:r>
          </w:p>
        </w:tc>
        <w:tc>
          <w:tcPr>
            <w:tcW w:w="3751" w:type="dxa"/>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合计</w:t>
            </w:r>
          </w:p>
        </w:tc>
        <w:tc>
          <w:tcPr>
            <w:tcW w:w="2062" w:type="dxa"/>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30 ,000</w:t>
            </w:r>
          </w:p>
        </w:tc>
        <w:tc>
          <w:tcPr>
            <w:tcW w:w="3751" w:type="dxa"/>
          </w:tcPr>
          <w:p>
            <w:pPr>
              <w:widowControl/>
              <w:autoSpaceDE/>
              <w:autoSpaceDN/>
              <w:adjustRightInd/>
              <w:spacing w:line="640" w:lineRule="atLeast"/>
              <w:ind w:firstLine="0" w:firstLineChars="0"/>
              <w:jc w:val="center"/>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r>
              <w:rPr>
                <w:color w:val="000000"/>
                <w:u w:color="000000"/>
              </w:rPr>
              <w:t>1.</w:t>
            </w:r>
            <w:r>
              <w:rPr>
                <w:rFonts w:hint="eastAsia"/>
                <w:color w:val="000000"/>
                <w:u w:color="000000"/>
              </w:rPr>
              <w:t>差旅费</w:t>
            </w:r>
          </w:p>
        </w:tc>
        <w:tc>
          <w:tcPr>
            <w:tcW w:w="2062" w:type="dxa"/>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14,000</w:t>
            </w:r>
          </w:p>
        </w:tc>
        <w:tc>
          <w:tcPr>
            <w:tcW w:w="3751" w:type="dxa"/>
          </w:tcPr>
          <w:p>
            <w:pPr>
              <w:widowControl/>
              <w:autoSpaceDE/>
              <w:autoSpaceDN/>
              <w:adjustRightInd/>
              <w:spacing w:before="100" w:beforeAutospacing="1" w:after="100" w:afterAutospacing="1" w:line="300" w:lineRule="exact"/>
              <w:ind w:firstLine="0" w:firstLineChars="0"/>
              <w:jc w:val="both"/>
              <w:textAlignment w:val="baseline"/>
              <w:rPr>
                <w:color w:val="000000"/>
                <w:u w:color="000000"/>
              </w:rPr>
            </w:pPr>
            <w:r>
              <w:rPr>
                <w:rFonts w:hint="eastAsia"/>
                <w:color w:val="000000"/>
                <w:u w:color="000000"/>
              </w:rPr>
              <w:t>赴广东、北京、上海、四川等省外调研每次2人3,500元一次，3,500*4=14,000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r>
              <w:rPr>
                <w:color w:val="000000"/>
                <w:u w:color="000000"/>
              </w:rPr>
              <w:t>2.</w:t>
            </w:r>
            <w:r>
              <w:rPr>
                <w:rFonts w:hint="eastAsia"/>
                <w:color w:val="000000"/>
                <w:u w:color="000000"/>
              </w:rPr>
              <w:t>会议费</w:t>
            </w:r>
          </w:p>
        </w:tc>
        <w:tc>
          <w:tcPr>
            <w:tcW w:w="2062" w:type="dxa"/>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2,000</w:t>
            </w:r>
          </w:p>
        </w:tc>
        <w:tc>
          <w:tcPr>
            <w:tcW w:w="3751" w:type="dxa"/>
          </w:tcPr>
          <w:p>
            <w:pPr>
              <w:widowControl/>
              <w:autoSpaceDE/>
              <w:autoSpaceDN/>
              <w:adjustRightInd/>
              <w:spacing w:before="100" w:beforeAutospacing="1" w:after="100" w:afterAutospacing="1" w:line="300" w:lineRule="exact"/>
              <w:ind w:firstLine="0" w:firstLineChars="0"/>
              <w:jc w:val="both"/>
              <w:textAlignment w:val="baseline"/>
              <w:rPr>
                <w:color w:val="000000"/>
                <w:u w:color="000000"/>
              </w:rPr>
            </w:pPr>
            <w:r>
              <w:rPr>
                <w:rFonts w:hint="eastAsia"/>
                <w:color w:val="000000"/>
                <w:u w:color="000000"/>
              </w:rPr>
              <w:t>参加浙江省独立学院财务工作专题会议两次，每次1,000元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r>
              <w:rPr>
                <w:color w:val="000000"/>
                <w:u w:color="000000"/>
              </w:rPr>
              <w:t>3.</w:t>
            </w:r>
            <w:r>
              <w:rPr>
                <w:rFonts w:hint="eastAsia"/>
                <w:color w:val="000000"/>
                <w:u w:color="000000"/>
              </w:rPr>
              <w:t>交通费</w:t>
            </w:r>
          </w:p>
        </w:tc>
        <w:tc>
          <w:tcPr>
            <w:tcW w:w="2062" w:type="dxa"/>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2,500</w:t>
            </w:r>
          </w:p>
        </w:tc>
        <w:tc>
          <w:tcPr>
            <w:tcW w:w="3751" w:type="dxa"/>
          </w:tcPr>
          <w:p>
            <w:pPr>
              <w:widowControl/>
              <w:autoSpaceDE/>
              <w:autoSpaceDN/>
              <w:adjustRightInd/>
              <w:spacing w:before="100" w:beforeAutospacing="1" w:after="100" w:afterAutospacing="1" w:line="300" w:lineRule="exact"/>
              <w:ind w:firstLine="0" w:firstLineChars="0"/>
              <w:jc w:val="both"/>
              <w:textAlignment w:val="baseline"/>
              <w:rPr>
                <w:color w:val="000000"/>
                <w:u w:color="000000"/>
              </w:rPr>
            </w:pPr>
            <w:r>
              <w:rPr>
                <w:rFonts w:hint="eastAsia"/>
                <w:color w:val="000000"/>
                <w:u w:color="000000"/>
              </w:rPr>
              <w:t>拟开展省内独立学院调研5次，每次交通费500元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r>
              <w:rPr>
                <w:color w:val="000000"/>
                <w:u w:color="000000"/>
              </w:rPr>
              <w:t xml:space="preserve">4. </w:t>
            </w:r>
            <w:r>
              <w:rPr>
                <w:rFonts w:hint="eastAsia"/>
                <w:color w:val="000000"/>
                <w:u w:color="000000"/>
              </w:rPr>
              <w:t>图书资料费</w:t>
            </w:r>
          </w:p>
        </w:tc>
        <w:tc>
          <w:tcPr>
            <w:tcW w:w="2062" w:type="dxa"/>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1,500</w:t>
            </w:r>
          </w:p>
        </w:tc>
        <w:tc>
          <w:tcPr>
            <w:tcW w:w="3751" w:type="dxa"/>
          </w:tcPr>
          <w:p>
            <w:pPr>
              <w:widowControl/>
              <w:autoSpaceDE/>
              <w:autoSpaceDN/>
              <w:adjustRightInd/>
              <w:spacing w:before="100" w:beforeAutospacing="1" w:after="100" w:afterAutospacing="1" w:line="300" w:lineRule="exact"/>
              <w:ind w:firstLine="0" w:firstLineChars="0"/>
              <w:jc w:val="both"/>
              <w:textAlignment w:val="baseline"/>
              <w:rPr>
                <w:color w:val="000000"/>
                <w:u w:color="000000"/>
              </w:rPr>
            </w:pPr>
            <w:r>
              <w:rPr>
                <w:rFonts w:hint="eastAsia"/>
                <w:color w:val="000000"/>
                <w:u w:color="000000"/>
              </w:rPr>
              <w:t>拟购置图书资料费、项目验收等复印打印费等1,500元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widowControl/>
              <w:autoSpaceDE/>
              <w:autoSpaceDN/>
              <w:adjustRightInd/>
              <w:spacing w:line="640" w:lineRule="atLeast"/>
              <w:ind w:firstLine="0" w:firstLineChars="0"/>
              <w:jc w:val="both"/>
              <w:textAlignment w:val="baseline"/>
              <w:rPr>
                <w:color w:val="000000"/>
                <w:u w:color="000000"/>
              </w:rPr>
            </w:pPr>
            <w:r>
              <w:rPr>
                <w:color w:val="000000"/>
                <w:u w:color="000000"/>
              </w:rPr>
              <w:t xml:space="preserve">5. </w:t>
            </w:r>
            <w:r>
              <w:rPr>
                <w:rFonts w:hint="eastAsia"/>
                <w:color w:val="000000"/>
                <w:u w:color="000000"/>
              </w:rPr>
              <w:t>版面费</w:t>
            </w:r>
          </w:p>
        </w:tc>
        <w:tc>
          <w:tcPr>
            <w:tcW w:w="2062" w:type="dxa"/>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5,000</w:t>
            </w:r>
          </w:p>
        </w:tc>
        <w:tc>
          <w:tcPr>
            <w:tcW w:w="3751" w:type="dxa"/>
          </w:tcPr>
          <w:p>
            <w:pPr>
              <w:widowControl/>
              <w:autoSpaceDE/>
              <w:autoSpaceDN/>
              <w:adjustRightInd/>
              <w:spacing w:before="100" w:beforeAutospacing="1" w:after="100" w:afterAutospacing="1" w:line="300" w:lineRule="exact"/>
              <w:ind w:firstLine="0" w:firstLineChars="0"/>
              <w:jc w:val="both"/>
              <w:textAlignment w:val="baseline"/>
              <w:rPr>
                <w:color w:val="000000"/>
                <w:u w:color="000000"/>
              </w:rPr>
            </w:pPr>
            <w:r>
              <w:rPr>
                <w:rFonts w:hint="eastAsia"/>
                <w:color w:val="000000"/>
                <w:u w:color="000000"/>
              </w:rPr>
              <w:t>拟发表论文1-2篇，需支付版面费5,000元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r>
              <w:rPr>
                <w:color w:val="000000"/>
                <w:u w:color="000000"/>
              </w:rPr>
              <w:t xml:space="preserve">6. </w:t>
            </w:r>
            <w:r>
              <w:rPr>
                <w:rFonts w:hint="eastAsia"/>
                <w:color w:val="000000"/>
                <w:u w:color="000000"/>
              </w:rPr>
              <w:t>专家咨询费</w:t>
            </w:r>
          </w:p>
        </w:tc>
        <w:tc>
          <w:tcPr>
            <w:tcW w:w="2062" w:type="dxa"/>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3,000</w:t>
            </w:r>
          </w:p>
        </w:tc>
        <w:tc>
          <w:tcPr>
            <w:tcW w:w="3751" w:type="dxa"/>
          </w:tcPr>
          <w:p>
            <w:pPr>
              <w:widowControl/>
              <w:autoSpaceDE/>
              <w:autoSpaceDN/>
              <w:adjustRightInd/>
              <w:spacing w:before="100" w:beforeAutospacing="1" w:after="100" w:afterAutospacing="1" w:line="300" w:lineRule="exact"/>
              <w:ind w:firstLine="0" w:firstLineChars="0"/>
              <w:jc w:val="both"/>
              <w:textAlignment w:val="baseline"/>
              <w:rPr>
                <w:color w:val="000000"/>
                <w:u w:color="000000"/>
              </w:rPr>
            </w:pPr>
            <w:r>
              <w:rPr>
                <w:rFonts w:hint="eastAsia"/>
                <w:color w:val="000000"/>
                <w:u w:color="000000"/>
              </w:rPr>
              <w:t>邀请省内教学方面专家3人，进行项目研究咨询工作，每人费用1,000元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widowControl/>
              <w:autoSpaceDE/>
              <w:autoSpaceDN/>
              <w:adjustRightInd/>
              <w:spacing w:line="640" w:lineRule="atLeast"/>
              <w:ind w:firstLine="0" w:firstLineChars="0"/>
              <w:jc w:val="both"/>
              <w:textAlignment w:val="baseline"/>
              <w:rPr>
                <w:color w:val="000000"/>
                <w:u w:color="000000"/>
              </w:rPr>
            </w:pPr>
            <w:r>
              <w:rPr>
                <w:rFonts w:hint="eastAsia"/>
                <w:color w:val="000000"/>
                <w:u w:color="000000"/>
              </w:rPr>
              <w:t>7.其他费用</w:t>
            </w:r>
          </w:p>
        </w:tc>
        <w:tc>
          <w:tcPr>
            <w:tcW w:w="2062" w:type="dxa"/>
            <w:vAlign w:val="center"/>
          </w:tcPr>
          <w:p>
            <w:pPr>
              <w:widowControl/>
              <w:autoSpaceDE/>
              <w:autoSpaceDN/>
              <w:adjustRightInd/>
              <w:spacing w:line="640" w:lineRule="atLeast"/>
              <w:ind w:firstLine="0" w:firstLineChars="0"/>
              <w:jc w:val="center"/>
              <w:textAlignment w:val="baseline"/>
              <w:rPr>
                <w:color w:val="000000"/>
                <w:u w:color="000000"/>
              </w:rPr>
            </w:pPr>
            <w:r>
              <w:rPr>
                <w:rFonts w:hint="eastAsia"/>
                <w:color w:val="000000"/>
                <w:u w:color="000000"/>
              </w:rPr>
              <w:t>2,000</w:t>
            </w:r>
          </w:p>
        </w:tc>
        <w:tc>
          <w:tcPr>
            <w:tcW w:w="3751" w:type="dxa"/>
            <w:vAlign w:val="center"/>
          </w:tcPr>
          <w:p>
            <w:pPr>
              <w:widowControl/>
              <w:autoSpaceDE/>
              <w:autoSpaceDN/>
              <w:adjustRightInd/>
              <w:spacing w:line="640" w:lineRule="atLeast"/>
              <w:ind w:firstLine="0" w:firstLineChars="0"/>
              <w:jc w:val="both"/>
              <w:textAlignment w:val="baseline"/>
              <w:rPr>
                <w:color w:val="000000"/>
                <w:u w:color="000000"/>
              </w:rPr>
            </w:pPr>
            <w:r>
              <w:rPr>
                <w:rFonts w:hint="eastAsia"/>
                <w:color w:val="000000"/>
                <w:u w:color="000000"/>
              </w:rPr>
              <w:t>其他不可预见费用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p>
        </w:tc>
        <w:tc>
          <w:tcPr>
            <w:tcW w:w="2062" w:type="dxa"/>
          </w:tcPr>
          <w:p>
            <w:pPr>
              <w:widowControl/>
              <w:autoSpaceDE/>
              <w:autoSpaceDN/>
              <w:adjustRightInd/>
              <w:spacing w:line="640" w:lineRule="atLeast"/>
              <w:ind w:firstLine="0" w:firstLineChars="0"/>
              <w:jc w:val="both"/>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tcPr>
          <w:p>
            <w:pPr>
              <w:widowControl/>
              <w:autoSpaceDE/>
              <w:autoSpaceDN/>
              <w:adjustRightInd/>
              <w:spacing w:line="640" w:lineRule="atLeast"/>
              <w:ind w:firstLine="0" w:firstLineChars="0"/>
              <w:jc w:val="both"/>
              <w:textAlignment w:val="baseline"/>
              <w:rPr>
                <w:color w:val="000000"/>
                <w:u w:color="000000"/>
              </w:rPr>
            </w:pPr>
          </w:p>
        </w:tc>
        <w:tc>
          <w:tcPr>
            <w:tcW w:w="2062" w:type="dxa"/>
          </w:tcPr>
          <w:p>
            <w:pPr>
              <w:widowControl/>
              <w:autoSpaceDE/>
              <w:autoSpaceDN/>
              <w:adjustRightInd/>
              <w:spacing w:line="640" w:lineRule="atLeast"/>
              <w:ind w:firstLine="0" w:firstLineChars="0"/>
              <w:jc w:val="center"/>
              <w:textAlignment w:val="baseline"/>
              <w:rPr>
                <w:color w:val="000000"/>
                <w:u w:color="000000"/>
              </w:rPr>
            </w:pPr>
          </w:p>
        </w:tc>
        <w:tc>
          <w:tcPr>
            <w:tcW w:w="3751" w:type="dxa"/>
          </w:tcPr>
          <w:p>
            <w:pPr>
              <w:widowControl/>
              <w:autoSpaceDE/>
              <w:autoSpaceDN/>
              <w:adjustRightInd/>
              <w:spacing w:line="640" w:lineRule="atLeast"/>
              <w:ind w:firstLine="0" w:firstLineChars="0"/>
              <w:jc w:val="both"/>
              <w:textAlignment w:val="baseline"/>
              <w:rPr>
                <w:color w:val="000000"/>
                <w:u w:color="000000"/>
              </w:rPr>
            </w:pPr>
          </w:p>
        </w:tc>
      </w:tr>
    </w:tbl>
    <w:p>
      <w:pPr>
        <w:widowControl/>
        <w:autoSpaceDE/>
        <w:autoSpaceDN/>
        <w:adjustRightInd/>
        <w:spacing w:line="640" w:lineRule="atLeast"/>
        <w:ind w:firstLine="0" w:firstLineChars="0"/>
        <w:jc w:val="both"/>
        <w:textAlignment w:val="baseline"/>
        <w:rPr>
          <w:color w:val="000000"/>
          <w:u w:color="000000"/>
        </w:rPr>
      </w:pPr>
    </w:p>
    <w:p>
      <w:pPr>
        <w:widowControl/>
        <w:autoSpaceDE/>
        <w:autoSpaceDN/>
        <w:adjustRightInd/>
        <w:spacing w:line="640" w:lineRule="atLeast"/>
        <w:ind w:firstLine="0" w:firstLineChars="0"/>
        <w:jc w:val="both"/>
        <w:textAlignment w:val="baseline"/>
        <w:rPr>
          <w:color w:val="000000"/>
          <w:u w:color="000000"/>
        </w:rPr>
      </w:pPr>
    </w:p>
    <w:p>
      <w:pPr>
        <w:widowControl/>
        <w:autoSpaceDE/>
        <w:autoSpaceDN/>
        <w:adjustRightInd/>
        <w:spacing w:line="640" w:lineRule="atLeast"/>
        <w:ind w:firstLine="0" w:firstLineChars="0"/>
        <w:jc w:val="both"/>
        <w:textAlignment w:val="baseline"/>
        <w:rPr>
          <w:color w:val="000000"/>
          <w:u w:color="000000"/>
        </w:rPr>
      </w:pPr>
    </w:p>
    <w:p>
      <w:pPr>
        <w:widowControl/>
        <w:autoSpaceDE/>
        <w:autoSpaceDN/>
        <w:adjustRightInd/>
        <w:spacing w:line="240" w:lineRule="auto"/>
        <w:ind w:firstLine="0" w:firstLineChars="0"/>
        <w:rPr>
          <w:rFonts w:eastAsia="仿宋_GB2312"/>
          <w:kern w:val="2"/>
          <w:sz w:val="28"/>
          <w:szCs w:val="28"/>
        </w:rPr>
      </w:pP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5337"/>
    <w:rsid w:val="0000040C"/>
    <w:rsid w:val="00005D18"/>
    <w:rsid w:val="00007A51"/>
    <w:rsid w:val="000156A4"/>
    <w:rsid w:val="00033843"/>
    <w:rsid w:val="00045C17"/>
    <w:rsid w:val="00050856"/>
    <w:rsid w:val="0007100F"/>
    <w:rsid w:val="00073D18"/>
    <w:rsid w:val="0007654B"/>
    <w:rsid w:val="000910E3"/>
    <w:rsid w:val="00093D55"/>
    <w:rsid w:val="000A4BCE"/>
    <w:rsid w:val="000A6FF7"/>
    <w:rsid w:val="000B050A"/>
    <w:rsid w:val="000C0D5F"/>
    <w:rsid w:val="000C6C18"/>
    <w:rsid w:val="000D0802"/>
    <w:rsid w:val="000D76C3"/>
    <w:rsid w:val="000F51C6"/>
    <w:rsid w:val="000F728D"/>
    <w:rsid w:val="00114F4E"/>
    <w:rsid w:val="00133A91"/>
    <w:rsid w:val="00151996"/>
    <w:rsid w:val="001645D8"/>
    <w:rsid w:val="00190070"/>
    <w:rsid w:val="001A4FDD"/>
    <w:rsid w:val="001B0793"/>
    <w:rsid w:val="001B4EA5"/>
    <w:rsid w:val="001C225A"/>
    <w:rsid w:val="001C52CF"/>
    <w:rsid w:val="001D7AEF"/>
    <w:rsid w:val="001E3DDC"/>
    <w:rsid w:val="001F3151"/>
    <w:rsid w:val="001F5BE3"/>
    <w:rsid w:val="001F7A88"/>
    <w:rsid w:val="002021C1"/>
    <w:rsid w:val="00202945"/>
    <w:rsid w:val="00206D65"/>
    <w:rsid w:val="002152BB"/>
    <w:rsid w:val="0022135D"/>
    <w:rsid w:val="0022512A"/>
    <w:rsid w:val="002277B5"/>
    <w:rsid w:val="00240882"/>
    <w:rsid w:val="002410F8"/>
    <w:rsid w:val="0025564C"/>
    <w:rsid w:val="002938DA"/>
    <w:rsid w:val="002B1FB2"/>
    <w:rsid w:val="002C4F88"/>
    <w:rsid w:val="002C52AF"/>
    <w:rsid w:val="002D716F"/>
    <w:rsid w:val="002F4265"/>
    <w:rsid w:val="002F5CDD"/>
    <w:rsid w:val="003008ED"/>
    <w:rsid w:val="00305AA7"/>
    <w:rsid w:val="00326287"/>
    <w:rsid w:val="00331856"/>
    <w:rsid w:val="003336C6"/>
    <w:rsid w:val="0034470A"/>
    <w:rsid w:val="003502B0"/>
    <w:rsid w:val="00355BE2"/>
    <w:rsid w:val="00357C01"/>
    <w:rsid w:val="00367746"/>
    <w:rsid w:val="00377230"/>
    <w:rsid w:val="00383E9C"/>
    <w:rsid w:val="00384718"/>
    <w:rsid w:val="00387B7A"/>
    <w:rsid w:val="0039003B"/>
    <w:rsid w:val="0039406C"/>
    <w:rsid w:val="00396FF5"/>
    <w:rsid w:val="003A57A8"/>
    <w:rsid w:val="003D77FB"/>
    <w:rsid w:val="003F3FA5"/>
    <w:rsid w:val="003F7D78"/>
    <w:rsid w:val="004022CB"/>
    <w:rsid w:val="00415642"/>
    <w:rsid w:val="00426907"/>
    <w:rsid w:val="0042701A"/>
    <w:rsid w:val="00445C7E"/>
    <w:rsid w:val="00447A76"/>
    <w:rsid w:val="00452A98"/>
    <w:rsid w:val="00453C1D"/>
    <w:rsid w:val="00471B78"/>
    <w:rsid w:val="00472D27"/>
    <w:rsid w:val="004806BD"/>
    <w:rsid w:val="00482904"/>
    <w:rsid w:val="00492B8A"/>
    <w:rsid w:val="004A0418"/>
    <w:rsid w:val="004E7C65"/>
    <w:rsid w:val="004F2AEE"/>
    <w:rsid w:val="004F6A14"/>
    <w:rsid w:val="00505A30"/>
    <w:rsid w:val="00512686"/>
    <w:rsid w:val="00514C7B"/>
    <w:rsid w:val="0051680E"/>
    <w:rsid w:val="00524927"/>
    <w:rsid w:val="00524DC1"/>
    <w:rsid w:val="0054203E"/>
    <w:rsid w:val="00550763"/>
    <w:rsid w:val="005534C0"/>
    <w:rsid w:val="00566D70"/>
    <w:rsid w:val="00573938"/>
    <w:rsid w:val="005768D1"/>
    <w:rsid w:val="00591FBC"/>
    <w:rsid w:val="00594421"/>
    <w:rsid w:val="005952D9"/>
    <w:rsid w:val="005A6799"/>
    <w:rsid w:val="005A7470"/>
    <w:rsid w:val="005B28B0"/>
    <w:rsid w:val="005D2AC4"/>
    <w:rsid w:val="005D3F35"/>
    <w:rsid w:val="005F4B9C"/>
    <w:rsid w:val="006040A8"/>
    <w:rsid w:val="00614EC7"/>
    <w:rsid w:val="00623FA6"/>
    <w:rsid w:val="00626A10"/>
    <w:rsid w:val="00641D09"/>
    <w:rsid w:val="00645903"/>
    <w:rsid w:val="006522F1"/>
    <w:rsid w:val="00656556"/>
    <w:rsid w:val="00663005"/>
    <w:rsid w:val="00675D3B"/>
    <w:rsid w:val="00690EF8"/>
    <w:rsid w:val="00692F70"/>
    <w:rsid w:val="006B1F46"/>
    <w:rsid w:val="006B76AD"/>
    <w:rsid w:val="006C7A71"/>
    <w:rsid w:val="006C7F79"/>
    <w:rsid w:val="006D4FFE"/>
    <w:rsid w:val="006F3953"/>
    <w:rsid w:val="006F6B51"/>
    <w:rsid w:val="006F6DCD"/>
    <w:rsid w:val="00707BF6"/>
    <w:rsid w:val="00707C9B"/>
    <w:rsid w:val="007167C1"/>
    <w:rsid w:val="00717D33"/>
    <w:rsid w:val="0072157D"/>
    <w:rsid w:val="00723EAF"/>
    <w:rsid w:val="00734625"/>
    <w:rsid w:val="00736BC8"/>
    <w:rsid w:val="007443AC"/>
    <w:rsid w:val="00777696"/>
    <w:rsid w:val="00780954"/>
    <w:rsid w:val="00780C09"/>
    <w:rsid w:val="00785C78"/>
    <w:rsid w:val="007916D7"/>
    <w:rsid w:val="007A5A74"/>
    <w:rsid w:val="007B1127"/>
    <w:rsid w:val="007D43EF"/>
    <w:rsid w:val="007D52ED"/>
    <w:rsid w:val="007F0705"/>
    <w:rsid w:val="007F0F1B"/>
    <w:rsid w:val="007F11EF"/>
    <w:rsid w:val="007F2A78"/>
    <w:rsid w:val="007F6AB7"/>
    <w:rsid w:val="008036F8"/>
    <w:rsid w:val="008125F9"/>
    <w:rsid w:val="008367A8"/>
    <w:rsid w:val="00845289"/>
    <w:rsid w:val="0087192E"/>
    <w:rsid w:val="0088766A"/>
    <w:rsid w:val="0089367E"/>
    <w:rsid w:val="008A2180"/>
    <w:rsid w:val="008A46C0"/>
    <w:rsid w:val="008A5651"/>
    <w:rsid w:val="008B1828"/>
    <w:rsid w:val="008B2040"/>
    <w:rsid w:val="008C3737"/>
    <w:rsid w:val="008D7B9F"/>
    <w:rsid w:val="00902CE4"/>
    <w:rsid w:val="00907A9A"/>
    <w:rsid w:val="009331C3"/>
    <w:rsid w:val="00941326"/>
    <w:rsid w:val="009459BA"/>
    <w:rsid w:val="0094637E"/>
    <w:rsid w:val="00950898"/>
    <w:rsid w:val="00952CA4"/>
    <w:rsid w:val="00953ED5"/>
    <w:rsid w:val="00960E65"/>
    <w:rsid w:val="0096356C"/>
    <w:rsid w:val="00967C0F"/>
    <w:rsid w:val="009730F7"/>
    <w:rsid w:val="0097427A"/>
    <w:rsid w:val="00976F42"/>
    <w:rsid w:val="009909A1"/>
    <w:rsid w:val="00995198"/>
    <w:rsid w:val="009B1887"/>
    <w:rsid w:val="009C0E37"/>
    <w:rsid w:val="009E4AD5"/>
    <w:rsid w:val="00A020C6"/>
    <w:rsid w:val="00A05FF6"/>
    <w:rsid w:val="00A105F1"/>
    <w:rsid w:val="00A121D6"/>
    <w:rsid w:val="00A2032F"/>
    <w:rsid w:val="00A35095"/>
    <w:rsid w:val="00A47513"/>
    <w:rsid w:val="00A57AB4"/>
    <w:rsid w:val="00A632CA"/>
    <w:rsid w:val="00A654A6"/>
    <w:rsid w:val="00A7085F"/>
    <w:rsid w:val="00A75E02"/>
    <w:rsid w:val="00A77C7B"/>
    <w:rsid w:val="00A8238E"/>
    <w:rsid w:val="00A83906"/>
    <w:rsid w:val="00AA3E3A"/>
    <w:rsid w:val="00AA6743"/>
    <w:rsid w:val="00AC3943"/>
    <w:rsid w:val="00AD46BE"/>
    <w:rsid w:val="00AE0354"/>
    <w:rsid w:val="00AF05AF"/>
    <w:rsid w:val="00AF40D6"/>
    <w:rsid w:val="00AF75CE"/>
    <w:rsid w:val="00B05E7D"/>
    <w:rsid w:val="00B06D9B"/>
    <w:rsid w:val="00B07AF5"/>
    <w:rsid w:val="00B1011E"/>
    <w:rsid w:val="00B15337"/>
    <w:rsid w:val="00B230D4"/>
    <w:rsid w:val="00B24981"/>
    <w:rsid w:val="00B37234"/>
    <w:rsid w:val="00B4241E"/>
    <w:rsid w:val="00B5146E"/>
    <w:rsid w:val="00B550F8"/>
    <w:rsid w:val="00B71077"/>
    <w:rsid w:val="00B74A54"/>
    <w:rsid w:val="00B819C9"/>
    <w:rsid w:val="00B8221F"/>
    <w:rsid w:val="00B84605"/>
    <w:rsid w:val="00BB608C"/>
    <w:rsid w:val="00BB7867"/>
    <w:rsid w:val="00BE131F"/>
    <w:rsid w:val="00C01909"/>
    <w:rsid w:val="00C01D7A"/>
    <w:rsid w:val="00C175B7"/>
    <w:rsid w:val="00C24CC0"/>
    <w:rsid w:val="00C364D3"/>
    <w:rsid w:val="00C37D81"/>
    <w:rsid w:val="00C647B7"/>
    <w:rsid w:val="00C7191B"/>
    <w:rsid w:val="00C92C4B"/>
    <w:rsid w:val="00CA078E"/>
    <w:rsid w:val="00CB3649"/>
    <w:rsid w:val="00CC30FE"/>
    <w:rsid w:val="00CD0D5E"/>
    <w:rsid w:val="00CD10DA"/>
    <w:rsid w:val="00CE371D"/>
    <w:rsid w:val="00CE4DDA"/>
    <w:rsid w:val="00D063BD"/>
    <w:rsid w:val="00D07388"/>
    <w:rsid w:val="00D14024"/>
    <w:rsid w:val="00D33940"/>
    <w:rsid w:val="00D409C8"/>
    <w:rsid w:val="00D51B1D"/>
    <w:rsid w:val="00D52678"/>
    <w:rsid w:val="00D5476A"/>
    <w:rsid w:val="00D57253"/>
    <w:rsid w:val="00D742EF"/>
    <w:rsid w:val="00D81102"/>
    <w:rsid w:val="00D87FFC"/>
    <w:rsid w:val="00DA7019"/>
    <w:rsid w:val="00DB2692"/>
    <w:rsid w:val="00DB3E89"/>
    <w:rsid w:val="00DC21E3"/>
    <w:rsid w:val="00DD0E31"/>
    <w:rsid w:val="00DD0FD6"/>
    <w:rsid w:val="00DD1F99"/>
    <w:rsid w:val="00DF0120"/>
    <w:rsid w:val="00DF0ACF"/>
    <w:rsid w:val="00E05C39"/>
    <w:rsid w:val="00E120E4"/>
    <w:rsid w:val="00E13652"/>
    <w:rsid w:val="00E375DF"/>
    <w:rsid w:val="00E40BA2"/>
    <w:rsid w:val="00E46434"/>
    <w:rsid w:val="00E70712"/>
    <w:rsid w:val="00E70F8B"/>
    <w:rsid w:val="00E71143"/>
    <w:rsid w:val="00E80135"/>
    <w:rsid w:val="00E833F5"/>
    <w:rsid w:val="00E863A1"/>
    <w:rsid w:val="00E914B6"/>
    <w:rsid w:val="00EA18DF"/>
    <w:rsid w:val="00EA273B"/>
    <w:rsid w:val="00EA7922"/>
    <w:rsid w:val="00ED66BE"/>
    <w:rsid w:val="00EE74BF"/>
    <w:rsid w:val="00EF103D"/>
    <w:rsid w:val="00EF70CD"/>
    <w:rsid w:val="00EF72E4"/>
    <w:rsid w:val="00EF7678"/>
    <w:rsid w:val="00F007DA"/>
    <w:rsid w:val="00F07A3F"/>
    <w:rsid w:val="00F14F61"/>
    <w:rsid w:val="00F27493"/>
    <w:rsid w:val="00F33446"/>
    <w:rsid w:val="00F36BF5"/>
    <w:rsid w:val="00F37068"/>
    <w:rsid w:val="00F43EC6"/>
    <w:rsid w:val="00F44BFF"/>
    <w:rsid w:val="00F47514"/>
    <w:rsid w:val="00F7337A"/>
    <w:rsid w:val="00F7341D"/>
    <w:rsid w:val="00F91B90"/>
    <w:rsid w:val="00F93F27"/>
    <w:rsid w:val="00FA1717"/>
    <w:rsid w:val="00FB50CC"/>
    <w:rsid w:val="00FD165B"/>
    <w:rsid w:val="00FD1A05"/>
    <w:rsid w:val="00FE0543"/>
    <w:rsid w:val="00FE0869"/>
    <w:rsid w:val="00FE52CC"/>
    <w:rsid w:val="00FE6DB7"/>
    <w:rsid w:val="00FF1EE3"/>
    <w:rsid w:val="00FF242A"/>
    <w:rsid w:val="00FF2B62"/>
    <w:rsid w:val="53937593"/>
    <w:rsid w:val="7B8719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7"/>
        <o:r id="V:Rule2" type="connector" idref="#_x0000_s1043"/>
        <o:r id="V:Rule3" type="connector" idref="#_x0000_s1044"/>
        <o:r id="V:Rule4" type="connector" idref="#_x0000_s1045"/>
        <o:r id="V:Rule5" type="connector" idref="#_x0000_s1046"/>
        <o:r id="V:Rule6" type="connector" idref="#_x0000_s1047"/>
        <o:r id="V:Rule7" type="connector" idref="#_x0000_s1048"/>
        <o:r id="V:Rule8" type="connector" idref="#_x0000_s1061"/>
        <o:r id="V:Rule9" type="connector" idref="#_x0000_s1062"/>
        <o:r id="V:Rule10" type="connector" idref="#_x0000_s1063"/>
        <o:r id="V:Rule11" type="connector" idref="#_x0000_s1064"/>
        <o:r id="V:Rule12" type="connector" idref="#_x0000_s106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420" w:firstLineChars="200"/>
    </w:pPr>
    <w:rPr>
      <w:rFonts w:ascii="Times New Roman" w:hAnsi="Times New Roman" w:eastAsia="宋体" w:cs="Times New Roman"/>
      <w:kern w:val="0"/>
      <w:sz w:val="21"/>
      <w:szCs w:val="20"/>
      <w:lang w:val="en-US" w:eastAsia="zh-CN" w:bidi="ar-SA"/>
    </w:rPr>
  </w:style>
  <w:style w:type="paragraph" w:styleId="2">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semiHidden/>
    <w:unhideWhenUsed/>
    <w:uiPriority w:val="99"/>
    <w:pPr>
      <w:ind w:left="100" w:leftChars="2500"/>
    </w:pPr>
  </w:style>
  <w:style w:type="paragraph" w:styleId="4">
    <w:name w:val="Balloon Text"/>
    <w:basedOn w:val="1"/>
    <w:link w:val="17"/>
    <w:semiHidden/>
    <w:unhideWhenUsed/>
    <w:uiPriority w:val="0"/>
    <w:pPr>
      <w:spacing w:line="240" w:lineRule="auto"/>
    </w:pPr>
    <w:rPr>
      <w:sz w:val="18"/>
      <w:szCs w:val="1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firstLineChars="0"/>
    </w:pPr>
    <w:rPr>
      <w:rFonts w:ascii="宋体" w:hAnsi="宋体" w:cs="宋体"/>
      <w:sz w:val="24"/>
      <w:szCs w:val="24"/>
    </w:rPr>
  </w:style>
  <w:style w:type="paragraph" w:styleId="8">
    <w:name w:val="Normal (Web)"/>
    <w:basedOn w:val="1"/>
    <w:uiPriority w:val="0"/>
    <w:pPr>
      <w:widowControl/>
      <w:autoSpaceDE/>
      <w:autoSpaceDN/>
      <w:adjustRightInd/>
      <w:spacing w:before="100" w:beforeAutospacing="1" w:after="100" w:afterAutospacing="1" w:line="240" w:lineRule="auto"/>
      <w:ind w:firstLine="0" w:firstLineChars="0"/>
    </w:pPr>
    <w:rPr>
      <w:rFonts w:ascii="宋体" w:hAnsi="宋体" w:cs="宋体"/>
      <w:sz w:val="24"/>
      <w:szCs w:val="24"/>
    </w:rPr>
  </w:style>
  <w:style w:type="character" w:styleId="10">
    <w:name w:val="Hyperlink"/>
    <w:basedOn w:val="9"/>
    <w:unhideWhenUsed/>
    <w:uiPriority w:val="99"/>
    <w:rPr>
      <w:color w:val="0000FF" w:themeColor="hyperlink"/>
      <w:u w:val="single"/>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9"/>
    <w:link w:val="6"/>
    <w:qFormat/>
    <w:uiPriority w:val="99"/>
    <w:rPr>
      <w:sz w:val="18"/>
      <w:szCs w:val="18"/>
    </w:rPr>
  </w:style>
  <w:style w:type="character" w:customStyle="1" w:styleId="14">
    <w:name w:val="页脚 Char"/>
    <w:basedOn w:val="9"/>
    <w:link w:val="5"/>
    <w:uiPriority w:val="99"/>
    <w:rPr>
      <w:sz w:val="18"/>
      <w:szCs w:val="18"/>
    </w:rPr>
  </w:style>
  <w:style w:type="paragraph" w:styleId="15">
    <w:name w:val="List Paragraph"/>
    <w:basedOn w:val="1"/>
    <w:qFormat/>
    <w:uiPriority w:val="34"/>
  </w:style>
  <w:style w:type="character" w:customStyle="1" w:styleId="16">
    <w:name w:val="日期 Char"/>
    <w:basedOn w:val="9"/>
    <w:link w:val="3"/>
    <w:semiHidden/>
    <w:uiPriority w:val="99"/>
    <w:rPr>
      <w:rFonts w:ascii="Times New Roman" w:hAnsi="Times New Roman" w:eastAsia="宋体" w:cs="Times New Roman"/>
      <w:kern w:val="0"/>
      <w:szCs w:val="20"/>
    </w:rPr>
  </w:style>
  <w:style w:type="character" w:customStyle="1" w:styleId="17">
    <w:name w:val="批注框文本 Char"/>
    <w:basedOn w:val="9"/>
    <w:link w:val="4"/>
    <w:semiHidden/>
    <w:uiPriority w:val="99"/>
    <w:rPr>
      <w:rFonts w:ascii="Times New Roman" w:hAnsi="Times New Roman" w:eastAsia="宋体" w:cs="Times New Roman"/>
      <w:kern w:val="0"/>
      <w:sz w:val="18"/>
      <w:szCs w:val="18"/>
    </w:rPr>
  </w:style>
  <w:style w:type="character" w:customStyle="1" w:styleId="18">
    <w:name w:val="highlight1"/>
    <w:basedOn w:val="9"/>
    <w:uiPriority w:val="0"/>
    <w:rPr>
      <w:sz w:val="21"/>
      <w:szCs w:val="21"/>
    </w:rPr>
  </w:style>
  <w:style w:type="character" w:customStyle="1" w:styleId="19">
    <w:name w:val="HTML 预设格式 Char"/>
    <w:basedOn w:val="9"/>
    <w:link w:val="7"/>
    <w:uiPriority w:val="99"/>
    <w:rPr>
      <w:rFonts w:ascii="宋体" w:hAnsi="宋体" w:eastAsia="宋体" w:cs="宋体"/>
      <w:kern w:val="0"/>
      <w:sz w:val="24"/>
      <w:szCs w:val="24"/>
    </w:rPr>
  </w:style>
  <w:style w:type="table" w:customStyle="1" w:styleId="20">
    <w:name w:val="浅色底纹1"/>
    <w:basedOn w:val="11"/>
    <w:qFormat/>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1">
    <w:name w:val="浅色底纹 - 强调文字颜色 11"/>
    <w:basedOn w:val="11"/>
    <w:qFormat/>
    <w:uiPriority w:val="60"/>
    <w:rPr>
      <w:color w:val="366091" w:themeColor="accent1" w:themeShade="BF"/>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character" w:customStyle="1" w:styleId="22">
    <w:name w:val="标题 3 Char"/>
    <w:basedOn w:val="9"/>
    <w:link w:val="2"/>
    <w:semiHidden/>
    <w:qFormat/>
    <w:uiPriority w:val="9"/>
    <w:rPr>
      <w:rFonts w:ascii="Times New Roman" w:hAnsi="Times New Roman" w:eastAsia="宋体" w:cs="Times New Roman"/>
      <w:b/>
      <w:bCs/>
      <w:kern w:val="0"/>
      <w:sz w:val="32"/>
      <w:szCs w:val="32"/>
    </w:rPr>
  </w:style>
  <w:style w:type="table" w:customStyle="1" w:styleId="23">
    <w:name w:val="浅色底纹2"/>
    <w:basedOn w:val="11"/>
    <w:qFormat/>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48"/>
    <customShpInfo spid="_x0000_s1037"/>
    <customShpInfo spid="_x0000_s1061"/>
    <customShpInfo spid="_x0000_s1036"/>
    <customShpInfo spid="_x0000_s1049"/>
    <customShpInfo spid="_x0000_s1026"/>
    <customShpInfo spid="_x0000_s1050"/>
    <customShpInfo spid="_x0000_s1043"/>
    <customShpInfo spid="_x0000_s1038"/>
    <customShpInfo spid="_x0000_s1062"/>
    <customShpInfo spid="_x0000_s1054"/>
    <customShpInfo spid="_x0000_s1044"/>
    <customShpInfo spid="_x0000_s1051"/>
    <customShpInfo spid="_x0000_s1055"/>
    <customShpInfo spid="_x0000_s1039"/>
    <customShpInfo spid="_x0000_s1063"/>
    <customShpInfo spid="_x0000_s1045"/>
    <customShpInfo spid="_x0000_s1052"/>
    <customShpInfo spid="_x0000_s1056"/>
    <customShpInfo spid="_x0000_s1040"/>
    <customShpInfo spid="_x0000_s1053"/>
    <customShpInfo spid="_x0000_s1064"/>
    <customShpInfo spid="_x0000_s1046"/>
    <customShpInfo spid="_x0000_s1041"/>
    <customShpInfo spid="_x0000_s1065"/>
    <customShpInfo spid="_x0000_s1057"/>
    <customShpInfo spid="_x0000_s1047"/>
    <customShpInfo spid="_x0000_s1060"/>
    <customShpInfo spid="_x0000_s1059"/>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3BB65-DE55-443C-B1B4-2D97B712F753}">
  <ds:schemaRefs/>
</ds:datastoreItem>
</file>

<file path=docProps/app.xml><?xml version="1.0" encoding="utf-8"?>
<Properties xmlns="http://schemas.openxmlformats.org/officeDocument/2006/extended-properties" xmlns:vt="http://schemas.openxmlformats.org/officeDocument/2006/docPropsVTypes">
  <Template>Normal</Template>
  <Company>浙江省教育厅</Company>
  <Pages>23</Pages>
  <Words>2398</Words>
  <Characters>13671</Characters>
  <Lines>113</Lines>
  <Paragraphs>32</Paragraphs>
  <TotalTime>307</TotalTime>
  <ScaleCrop>false</ScaleCrop>
  <LinksUpToDate>false</LinksUpToDate>
  <CharactersWithSpaces>16037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2018-09-08T09:28:00Z</dcterms:created>
  <dc:creator>祝鸿平</dc:creator>
  <cp:lastModifiedBy>pomereo</cp:lastModifiedBy>
  <cp:lastPrinted>2018-09-10T00:22:00Z</cp:lastPrinted>
  <dcterms:modified xsi:type="dcterms:W3CDTF">2018-09-25T03:09:26Z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