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Times New Roman" w:eastAsia="方正小标宋简体" w:cs="Times New Roman"/>
          <w:kern w:val="0"/>
          <w:sz w:val="32"/>
          <w:szCs w:val="32"/>
        </w:rPr>
      </w:pPr>
      <w:bookmarkStart w:id="0" w:name="_GoBack"/>
      <w:bookmarkEnd w:id="0"/>
      <w:r>
        <w:rPr>
          <w:rFonts w:hint="eastAsia" w:ascii="方正小标宋简体" w:hAnsi="Times New Roman" w:eastAsia="方正小标宋简体" w:cs="Times New Roman"/>
          <w:kern w:val="0"/>
          <w:sz w:val="32"/>
          <w:szCs w:val="32"/>
        </w:rPr>
        <w:t>浙江工业大学之江学院一流本科专业建设基本要求</w:t>
      </w:r>
    </w:p>
    <w:p>
      <w:pPr>
        <w:adjustRightInd w:val="0"/>
        <w:snapToGrid w:val="0"/>
        <w:rPr>
          <w:rFonts w:ascii="Times New Roman" w:hAnsi="Times New Roman" w:eastAsia="仿宋_GB2312" w:cs="Times New Roman"/>
          <w:kern w:val="0"/>
          <w:sz w:val="28"/>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409"/>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hAnsi="宋体" w:eastAsia="宋体"/>
                <w:b/>
                <w:sz w:val="24"/>
              </w:rPr>
            </w:pPr>
            <w:r>
              <w:rPr>
                <w:rFonts w:ascii="宋体" w:hAnsi="宋体" w:eastAsia="宋体"/>
                <w:b/>
                <w:sz w:val="24"/>
              </w:rPr>
              <w:t>一级指标</w:t>
            </w:r>
          </w:p>
        </w:tc>
        <w:tc>
          <w:tcPr>
            <w:tcW w:w="2409" w:type="dxa"/>
          </w:tcPr>
          <w:p>
            <w:pPr>
              <w:jc w:val="center"/>
              <w:rPr>
                <w:rFonts w:ascii="宋体" w:hAnsi="宋体" w:eastAsia="宋体"/>
                <w:b/>
                <w:sz w:val="24"/>
              </w:rPr>
            </w:pPr>
            <w:r>
              <w:rPr>
                <w:rFonts w:ascii="宋体" w:hAnsi="宋体" w:eastAsia="宋体"/>
                <w:b/>
                <w:sz w:val="24"/>
              </w:rPr>
              <w:t>二级指标</w:t>
            </w:r>
          </w:p>
        </w:tc>
        <w:tc>
          <w:tcPr>
            <w:tcW w:w="4445" w:type="dxa"/>
          </w:tcPr>
          <w:p>
            <w:pPr>
              <w:jc w:val="center"/>
              <w:rPr>
                <w:rFonts w:ascii="宋体" w:hAnsi="宋体" w:eastAsia="宋体"/>
                <w:b/>
                <w:sz w:val="24"/>
              </w:rPr>
            </w:pPr>
            <w:r>
              <w:rPr>
                <w:rFonts w:ascii="宋体" w:hAnsi="宋体" w:eastAsia="宋体"/>
                <w:b/>
                <w:sz w:val="24"/>
              </w:rPr>
              <w:t>建设</w:t>
            </w:r>
            <w:r>
              <w:rPr>
                <w:rFonts w:hint="eastAsia" w:ascii="宋体" w:hAnsi="宋体" w:eastAsia="宋体"/>
                <w:b/>
                <w:sz w:val="24"/>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Merge w:val="restart"/>
          </w:tcPr>
          <w:p>
            <w:pPr>
              <w:rPr>
                <w:rFonts w:ascii="仿宋_GB2312" w:eastAsia="仿宋_GB2312"/>
              </w:rPr>
            </w:pPr>
            <w:r>
              <w:rPr>
                <w:rFonts w:hint="eastAsia" w:ascii="仿宋_GB2312" w:hAnsi="仿宋" w:eastAsia="仿宋_GB2312" w:cs="仿宋"/>
                <w:sz w:val="24"/>
              </w:rPr>
              <w:t>1.优化培养模式</w:t>
            </w:r>
          </w:p>
        </w:tc>
        <w:tc>
          <w:tcPr>
            <w:tcW w:w="2409" w:type="dxa"/>
            <w:vAlign w:val="center"/>
          </w:tcPr>
          <w:p>
            <w:pPr>
              <w:jc w:val="left"/>
              <w:rPr>
                <w:rFonts w:ascii="仿宋_GB2312" w:eastAsia="仿宋_GB2312"/>
              </w:rPr>
            </w:pPr>
            <w:r>
              <w:rPr>
                <w:rFonts w:hint="eastAsia" w:ascii="仿宋_GB2312" w:hAnsi="仿宋" w:eastAsia="仿宋_GB2312" w:cs="仿宋"/>
                <w:sz w:val="24"/>
              </w:rPr>
              <w:t>1.1培养目标与毕业要求</w:t>
            </w:r>
          </w:p>
        </w:tc>
        <w:tc>
          <w:tcPr>
            <w:tcW w:w="4445" w:type="dxa"/>
          </w:tcPr>
          <w:p>
            <w:pPr>
              <w:rPr>
                <w:rFonts w:ascii="仿宋_GB2312" w:hAnsi="仿宋" w:eastAsia="仿宋_GB2312" w:cs="仿宋"/>
                <w:sz w:val="24"/>
              </w:rPr>
            </w:pPr>
            <w:r>
              <w:rPr>
                <w:rFonts w:hint="eastAsia" w:ascii="仿宋_GB2312" w:hAnsi="仿宋" w:eastAsia="仿宋_GB2312" w:cs="仿宋"/>
                <w:sz w:val="24"/>
              </w:rPr>
              <w:t>坚持党的教育方针，全面贯彻落实立德树人根本任务；有公开、精准、符合学院办学的专业定位；培养目标与经济社会发展或行业发展需求相契合，充分体现面向未来、应对变化。有明确、公开、可衡量的毕业要求，能够支撑培养目标的达成，形成毕业要求达成度评价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rPr>
                <w:rFonts w:ascii="仿宋_GB2312" w:eastAsia="仿宋_GB2312"/>
              </w:rPr>
            </w:pPr>
          </w:p>
        </w:tc>
        <w:tc>
          <w:tcPr>
            <w:tcW w:w="2409" w:type="dxa"/>
          </w:tcPr>
          <w:p>
            <w:pPr>
              <w:rPr>
                <w:rFonts w:ascii="仿宋_GB2312" w:eastAsia="仿宋_GB2312"/>
              </w:rPr>
            </w:pPr>
            <w:r>
              <w:rPr>
                <w:rFonts w:hint="eastAsia" w:ascii="仿宋_GB2312" w:hAnsi="仿宋" w:eastAsia="仿宋_GB2312" w:cs="仿宋"/>
                <w:sz w:val="24"/>
              </w:rPr>
              <w:t>1.2课程思政建设</w:t>
            </w:r>
          </w:p>
        </w:tc>
        <w:tc>
          <w:tcPr>
            <w:tcW w:w="4445" w:type="dxa"/>
          </w:tcPr>
          <w:p>
            <w:pPr>
              <w:rPr>
                <w:rFonts w:ascii="仿宋_GB2312" w:hAnsi="仿宋" w:eastAsia="仿宋_GB2312" w:cs="仿宋"/>
                <w:sz w:val="24"/>
              </w:rPr>
            </w:pPr>
            <w:r>
              <w:rPr>
                <w:rFonts w:hint="eastAsia" w:ascii="仿宋_GB2312" w:hAnsi="仿宋" w:eastAsia="仿宋_GB2312" w:cs="仿宋"/>
                <w:sz w:val="24"/>
              </w:rPr>
              <w:t>实现课程思政全覆盖，有效融入专业实现一体化建设。建设期内新增1项院级A类课程思政示范课程或院级以上课程思政教学建设项目。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rPr>
                <w:rFonts w:ascii="仿宋_GB2312" w:eastAsia="仿宋_GB2312"/>
              </w:rPr>
            </w:pPr>
          </w:p>
        </w:tc>
        <w:tc>
          <w:tcPr>
            <w:tcW w:w="2409" w:type="dxa"/>
          </w:tcPr>
          <w:p>
            <w:pPr>
              <w:rPr>
                <w:rFonts w:ascii="仿宋_GB2312" w:hAnsi="仿宋" w:eastAsia="仿宋_GB2312" w:cs="仿宋"/>
                <w:sz w:val="24"/>
              </w:rPr>
            </w:pPr>
            <w:r>
              <w:rPr>
                <w:rFonts w:hint="eastAsia" w:ascii="仿宋_GB2312" w:hAnsi="仿宋" w:eastAsia="仿宋_GB2312" w:cs="仿宋"/>
                <w:sz w:val="24"/>
              </w:rPr>
              <w:t>1.3“四新”专业内涵建设</w:t>
            </w:r>
          </w:p>
        </w:tc>
        <w:tc>
          <w:tcPr>
            <w:tcW w:w="4445" w:type="dxa"/>
          </w:tcPr>
          <w:p>
            <w:pPr>
              <w:rPr>
                <w:rFonts w:ascii="仿宋_GB2312" w:hAnsi="仿宋" w:eastAsia="仿宋_GB2312" w:cs="仿宋"/>
                <w:sz w:val="24"/>
              </w:rPr>
            </w:pPr>
            <w:r>
              <w:rPr>
                <w:rFonts w:hint="eastAsia" w:ascii="仿宋_GB2312" w:hAnsi="仿宋" w:eastAsia="仿宋_GB2312" w:cs="仿宋"/>
                <w:sz w:val="24"/>
              </w:rPr>
              <w:t>围绕国家战略、区域需求和产业转型升级要求，优化培养方案和课程体系，落实“四新”内涵建设。建设期内获得1项市厅级及以上教改项目。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rPr>
                <w:rFonts w:ascii="仿宋_GB2312" w:eastAsia="仿宋_GB2312"/>
              </w:rPr>
            </w:pPr>
          </w:p>
        </w:tc>
        <w:tc>
          <w:tcPr>
            <w:tcW w:w="2409" w:type="dxa"/>
          </w:tcPr>
          <w:p>
            <w:pPr>
              <w:rPr>
                <w:rFonts w:ascii="仿宋_GB2312" w:hAnsi="仿宋" w:eastAsia="仿宋_GB2312" w:cs="仿宋"/>
                <w:sz w:val="24"/>
              </w:rPr>
            </w:pPr>
            <w:r>
              <w:rPr>
                <w:rFonts w:hint="eastAsia" w:ascii="仿宋_GB2312" w:hAnsi="仿宋" w:eastAsia="仿宋_GB2312" w:cs="仿宋"/>
                <w:sz w:val="24"/>
              </w:rPr>
              <w:t>1.4产科教融合的培养模式改革</w:t>
            </w:r>
          </w:p>
        </w:tc>
        <w:tc>
          <w:tcPr>
            <w:tcW w:w="4445" w:type="dxa"/>
          </w:tcPr>
          <w:p>
            <w:pPr>
              <w:rPr>
                <w:rFonts w:ascii="仿宋_GB2312" w:hAnsi="仿宋" w:eastAsia="仿宋_GB2312" w:cs="仿宋"/>
                <w:sz w:val="24"/>
              </w:rPr>
            </w:pPr>
            <w:r>
              <w:rPr>
                <w:rFonts w:hint="eastAsia" w:ascii="仿宋_GB2312" w:hAnsi="仿宋" w:eastAsia="仿宋_GB2312" w:cs="仿宋"/>
                <w:sz w:val="24"/>
              </w:rPr>
              <w:t>推进产科教融合的“三化”人才培养模式改革，培育专业特色、优势。建设期内获得2项及以上教育部产学合作协同育人项目或1项省级产学合作协同育人项目。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rPr>
                <w:rFonts w:ascii="仿宋_GB2312" w:hAnsi="仿宋" w:eastAsia="仿宋_GB2312" w:cs="仿宋"/>
                <w:sz w:val="24"/>
              </w:rPr>
            </w:pPr>
          </w:p>
        </w:tc>
        <w:tc>
          <w:tcPr>
            <w:tcW w:w="2409" w:type="dxa"/>
          </w:tcPr>
          <w:p>
            <w:pPr>
              <w:rPr>
                <w:rFonts w:ascii="仿宋_GB2312" w:hAnsi="仿宋" w:eastAsia="仿宋_GB2312" w:cs="仿宋"/>
                <w:sz w:val="24"/>
              </w:rPr>
            </w:pPr>
            <w:r>
              <w:rPr>
                <w:rFonts w:hint="eastAsia" w:ascii="仿宋_GB2312" w:hAnsi="仿宋" w:eastAsia="仿宋_GB2312" w:cs="仿宋"/>
                <w:sz w:val="24"/>
              </w:rPr>
              <w:t>1.5实践育人平台</w:t>
            </w:r>
          </w:p>
        </w:tc>
        <w:tc>
          <w:tcPr>
            <w:tcW w:w="4445" w:type="dxa"/>
          </w:tcPr>
          <w:p>
            <w:pPr>
              <w:rPr>
                <w:rFonts w:ascii="仿宋_GB2312" w:eastAsia="仿宋_GB2312"/>
              </w:rPr>
            </w:pPr>
            <w:r>
              <w:rPr>
                <w:rFonts w:hint="eastAsia" w:ascii="仿宋_GB2312" w:eastAsia="仿宋_GB2312"/>
                <w:sz w:val="24"/>
                <w:szCs w:val="24"/>
              </w:rPr>
              <w:t>与政府、行业、企业共同建设实践教育基地、产业学院，建设期内至少新增1项市厅级实践教学平台或院级及以上产业学院。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68" w:type="dxa"/>
            <w:vMerge w:val="restart"/>
          </w:tcPr>
          <w:p>
            <w:pPr>
              <w:rPr>
                <w:rFonts w:ascii="仿宋_GB2312" w:eastAsia="仿宋_GB2312"/>
              </w:rPr>
            </w:pPr>
            <w:r>
              <w:rPr>
                <w:rFonts w:hint="eastAsia" w:ascii="仿宋_GB2312" w:hAnsi="仿宋" w:eastAsia="仿宋_GB2312" w:cs="仿宋"/>
                <w:sz w:val="24"/>
              </w:rPr>
              <w:t>2.强化课程建设</w:t>
            </w:r>
          </w:p>
        </w:tc>
        <w:tc>
          <w:tcPr>
            <w:tcW w:w="2409" w:type="dxa"/>
          </w:tcPr>
          <w:p>
            <w:pPr>
              <w:rPr>
                <w:rFonts w:ascii="仿宋_GB2312" w:hAnsi="仿宋" w:eastAsia="仿宋_GB2312" w:cs="仿宋"/>
                <w:sz w:val="24"/>
              </w:rPr>
            </w:pPr>
            <w:r>
              <w:rPr>
                <w:rFonts w:hint="eastAsia" w:ascii="仿宋_GB2312" w:hAnsi="仿宋" w:eastAsia="仿宋_GB2312" w:cs="仿宋"/>
                <w:sz w:val="24"/>
              </w:rPr>
              <w:t>2.1一流课程建设</w:t>
            </w:r>
          </w:p>
        </w:tc>
        <w:tc>
          <w:tcPr>
            <w:tcW w:w="4445" w:type="dxa"/>
          </w:tcPr>
          <w:p>
            <w:pPr>
              <w:rPr>
                <w:rFonts w:ascii="仿宋_GB2312" w:hAnsi="仿宋" w:eastAsia="仿宋_GB2312" w:cs="仿宋"/>
                <w:sz w:val="24"/>
              </w:rPr>
            </w:pPr>
            <w:r>
              <w:rPr>
                <w:rFonts w:hint="eastAsia" w:ascii="仿宋_GB2312" w:hAnsi="仿宋" w:eastAsia="仿宋_GB2312" w:cs="仿宋"/>
                <w:sz w:val="24"/>
              </w:rPr>
              <w:t>课程大纲及时更新，课程建设有规划、有标准、有措施。建设具有“两性一度”特征的一流课程，建设期内至少新增1门省级一流课程。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668" w:type="dxa"/>
            <w:vMerge w:val="continue"/>
          </w:tcPr>
          <w:p>
            <w:pPr>
              <w:rPr>
                <w:rFonts w:ascii="仿宋_GB2312" w:eastAsia="仿宋_GB2312"/>
              </w:rPr>
            </w:pPr>
          </w:p>
        </w:tc>
        <w:tc>
          <w:tcPr>
            <w:tcW w:w="2409" w:type="dxa"/>
          </w:tcPr>
          <w:p>
            <w:pPr>
              <w:rPr>
                <w:rFonts w:ascii="仿宋_GB2312" w:hAnsi="仿宋" w:eastAsia="仿宋_GB2312" w:cs="仿宋"/>
                <w:sz w:val="24"/>
              </w:rPr>
            </w:pPr>
            <w:r>
              <w:rPr>
                <w:rFonts w:hint="eastAsia" w:ascii="仿宋_GB2312" w:hAnsi="仿宋" w:eastAsia="仿宋_GB2312" w:cs="仿宋"/>
                <w:sz w:val="24"/>
              </w:rPr>
              <w:t>2.2教材建设与选用</w:t>
            </w:r>
          </w:p>
          <w:p>
            <w:pPr>
              <w:rPr>
                <w:rFonts w:ascii="仿宋_GB2312" w:hAnsi="仿宋" w:eastAsia="仿宋_GB2312" w:cs="仿宋"/>
                <w:sz w:val="24"/>
              </w:rPr>
            </w:pPr>
          </w:p>
        </w:tc>
        <w:tc>
          <w:tcPr>
            <w:tcW w:w="4445" w:type="dxa"/>
          </w:tcPr>
          <w:p>
            <w:pPr>
              <w:rPr>
                <w:rFonts w:ascii="仿宋_GB2312" w:hAnsi="仿宋" w:eastAsia="仿宋_GB2312" w:cs="仿宋"/>
                <w:sz w:val="24"/>
              </w:rPr>
            </w:pPr>
            <w:r>
              <w:rPr>
                <w:rFonts w:hint="eastAsia" w:ascii="仿宋_GB2312" w:hAnsi="仿宋" w:eastAsia="仿宋_GB2312" w:cs="仿宋"/>
                <w:sz w:val="24"/>
              </w:rPr>
              <w:t>建立健全教材选用机制，相关课程首选“马工程”教材。围绕课程体系重点建设一批专业基础课程、专业课程、实践类课程的教材，建设期内至少新增1部（套）省级新形态或重点教材。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68" w:type="dxa"/>
            <w:vMerge w:val="continue"/>
          </w:tcPr>
          <w:p>
            <w:pPr>
              <w:rPr>
                <w:rFonts w:ascii="仿宋_GB2312" w:eastAsia="仿宋_GB2312"/>
              </w:rPr>
            </w:pPr>
          </w:p>
        </w:tc>
        <w:tc>
          <w:tcPr>
            <w:tcW w:w="2409" w:type="dxa"/>
          </w:tcPr>
          <w:p>
            <w:pPr>
              <w:rPr>
                <w:rFonts w:ascii="仿宋_GB2312" w:hAnsi="仿宋" w:eastAsia="仿宋_GB2312" w:cs="仿宋"/>
                <w:sz w:val="24"/>
              </w:rPr>
            </w:pPr>
            <w:r>
              <w:rPr>
                <w:rFonts w:hint="eastAsia" w:ascii="仿宋_GB2312" w:hAnsi="仿宋" w:eastAsia="仿宋_GB2312" w:cs="仿宋"/>
                <w:sz w:val="24"/>
              </w:rPr>
              <w:t>2.3数字化资源建设</w:t>
            </w:r>
          </w:p>
        </w:tc>
        <w:tc>
          <w:tcPr>
            <w:tcW w:w="4445" w:type="dxa"/>
          </w:tcPr>
          <w:p>
            <w:pPr>
              <w:rPr>
                <w:rFonts w:ascii="仿宋_GB2312" w:hAnsi="仿宋" w:eastAsia="仿宋_GB2312" w:cs="仿宋"/>
                <w:sz w:val="24"/>
              </w:rPr>
            </w:pPr>
            <w:r>
              <w:rPr>
                <w:rFonts w:hint="eastAsia" w:ascii="仿宋_GB2312" w:hAnsi="仿宋" w:eastAsia="仿宋_GB2312" w:cs="仿宋"/>
                <w:sz w:val="24"/>
              </w:rPr>
              <w:t>结合一流课程建设在线开放资源、虚拟仿真实验项目，开展混合式教学，推进现代信息技术与教学的深度融合。建设期内至少有1门课程在浙江省高等学校在线开放课程共享平台开课或在国内有影响力的在线课程平台开课并且运行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Pr>
          <w:p>
            <w:pPr>
              <w:rPr>
                <w:rFonts w:ascii="仿宋_GB2312" w:hAnsi="仿宋" w:eastAsia="仿宋_GB2312" w:cs="仿宋"/>
                <w:sz w:val="24"/>
              </w:rPr>
            </w:pPr>
            <w:r>
              <w:rPr>
                <w:rFonts w:hint="eastAsia" w:ascii="仿宋_GB2312" w:hAnsi="仿宋" w:eastAsia="仿宋_GB2312" w:cs="仿宋"/>
                <w:sz w:val="24"/>
              </w:rPr>
              <w:t>3.推进师资队伍建设</w:t>
            </w:r>
          </w:p>
          <w:p>
            <w:pPr>
              <w:rPr>
                <w:rFonts w:ascii="仿宋_GB2312" w:eastAsia="仿宋_GB2312"/>
              </w:rPr>
            </w:pPr>
          </w:p>
        </w:tc>
        <w:tc>
          <w:tcPr>
            <w:tcW w:w="2409" w:type="dxa"/>
          </w:tcPr>
          <w:p>
            <w:pPr>
              <w:rPr>
                <w:rFonts w:ascii="仿宋_GB2312" w:eastAsia="仿宋_GB2312"/>
              </w:rPr>
            </w:pPr>
            <w:r>
              <w:rPr>
                <w:rFonts w:hint="eastAsia" w:ascii="仿宋_GB2312" w:hAnsi="仿宋" w:eastAsia="仿宋_GB2312" w:cs="仿宋"/>
                <w:sz w:val="24"/>
              </w:rPr>
              <w:t>3.1优化教学队伍</w:t>
            </w:r>
          </w:p>
        </w:tc>
        <w:tc>
          <w:tcPr>
            <w:tcW w:w="4445" w:type="dxa"/>
          </w:tcPr>
          <w:p>
            <w:pPr>
              <w:rPr>
                <w:rFonts w:ascii="仿宋_GB2312" w:eastAsia="仿宋_GB2312"/>
              </w:rPr>
            </w:pPr>
            <w:r>
              <w:rPr>
                <w:rFonts w:hint="eastAsia" w:ascii="仿宋_GB2312" w:hAnsi="仿宋" w:eastAsia="仿宋_GB2312" w:cs="仿宋"/>
                <w:sz w:val="24"/>
              </w:rPr>
              <w:t>优选优聘专业、课程（群）、实践教学平台负责人，教授为本科生授课比例为100%。建设期内新增或保持至少1名教师在省级教指委、行业协会、学术团体担任重要职务。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pacing w:line="560" w:lineRule="exact"/>
              <w:rPr>
                <w:rFonts w:ascii="仿宋_GB2312" w:hAnsi="仿宋" w:eastAsia="仿宋_GB2312" w:cs="仿宋"/>
                <w:sz w:val="24"/>
              </w:rPr>
            </w:pPr>
          </w:p>
        </w:tc>
        <w:tc>
          <w:tcPr>
            <w:tcW w:w="2409" w:type="dxa"/>
          </w:tcPr>
          <w:p>
            <w:pPr>
              <w:rPr>
                <w:rFonts w:ascii="仿宋_GB2312" w:hAnsi="仿宋" w:eastAsia="仿宋_GB2312" w:cs="仿宋"/>
                <w:sz w:val="24"/>
              </w:rPr>
            </w:pPr>
            <w:r>
              <w:rPr>
                <w:rFonts w:hint="eastAsia" w:ascii="仿宋_GB2312" w:hAnsi="仿宋" w:eastAsia="仿宋_GB2312" w:cs="仿宋"/>
                <w:sz w:val="24"/>
              </w:rPr>
              <w:t>3.2教师教学发展</w:t>
            </w:r>
          </w:p>
        </w:tc>
        <w:tc>
          <w:tcPr>
            <w:tcW w:w="4445" w:type="dxa"/>
          </w:tcPr>
          <w:p>
            <w:pPr>
              <w:rPr>
                <w:rFonts w:ascii="仿宋_GB2312" w:hAnsi="仿宋" w:eastAsia="仿宋_GB2312" w:cs="仿宋"/>
                <w:sz w:val="24"/>
              </w:rPr>
            </w:pPr>
            <w:r>
              <w:rPr>
                <w:rFonts w:hint="eastAsia" w:ascii="仿宋_GB2312" w:hAnsi="仿宋" w:eastAsia="仿宋_GB2312" w:cs="仿宋"/>
                <w:sz w:val="24"/>
              </w:rPr>
              <w:t>组织教师参加教学能力提升研修班、教学工作坊和各种教学沙龙，积极参加各类教学竞赛，建设期内获得市厅级及以上教学竞赛（三等奖及以上）奖励、名师、教坛新秀、团队等1项。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pacing w:line="560" w:lineRule="exact"/>
              <w:rPr>
                <w:rFonts w:ascii="仿宋_GB2312" w:hAnsi="仿宋" w:eastAsia="仿宋_GB2312" w:cs="仿宋"/>
                <w:sz w:val="24"/>
              </w:rPr>
            </w:pPr>
          </w:p>
        </w:tc>
        <w:tc>
          <w:tcPr>
            <w:tcW w:w="2409" w:type="dxa"/>
          </w:tcPr>
          <w:p>
            <w:pPr>
              <w:rPr>
                <w:rFonts w:ascii="仿宋_GB2312" w:hAnsi="仿宋" w:eastAsia="仿宋_GB2312" w:cs="仿宋"/>
                <w:sz w:val="24"/>
              </w:rPr>
            </w:pPr>
            <w:r>
              <w:rPr>
                <w:rFonts w:hint="eastAsia" w:ascii="仿宋_GB2312" w:hAnsi="仿宋" w:eastAsia="仿宋_GB2312" w:cs="仿宋"/>
                <w:sz w:val="24"/>
              </w:rPr>
              <w:t>3.3基层教学组织建设</w:t>
            </w:r>
          </w:p>
        </w:tc>
        <w:tc>
          <w:tcPr>
            <w:tcW w:w="4445" w:type="dxa"/>
          </w:tcPr>
          <w:p>
            <w:pPr>
              <w:rPr>
                <w:rFonts w:ascii="仿宋_GB2312" w:hAnsi="仿宋" w:eastAsia="仿宋_GB2312" w:cs="仿宋"/>
                <w:sz w:val="24"/>
              </w:rPr>
            </w:pPr>
            <w:r>
              <w:rPr>
                <w:rFonts w:hint="eastAsia" w:ascii="仿宋_GB2312" w:hAnsi="仿宋" w:eastAsia="仿宋_GB2312" w:cs="仿宋"/>
                <w:sz w:val="24"/>
              </w:rPr>
              <w:t>积极开展各类教学研究、教师培训等活动，举措有力，建设期内获得院级及以上优秀基层教学组织奖励2次。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Pr>
          <w:p>
            <w:pPr>
              <w:rPr>
                <w:rFonts w:ascii="仿宋_GB2312" w:hAnsi="仿宋" w:eastAsia="仿宋_GB2312" w:cs="仿宋"/>
                <w:sz w:val="24"/>
              </w:rPr>
            </w:pPr>
            <w:r>
              <w:rPr>
                <w:rFonts w:hint="eastAsia" w:ascii="仿宋_GB2312" w:hAnsi="仿宋" w:eastAsia="仿宋_GB2312" w:cs="仿宋"/>
                <w:sz w:val="24"/>
              </w:rPr>
              <w:t>4.促进学生发展</w:t>
            </w:r>
          </w:p>
        </w:tc>
        <w:tc>
          <w:tcPr>
            <w:tcW w:w="2409" w:type="dxa"/>
          </w:tcPr>
          <w:p>
            <w:pPr>
              <w:rPr>
                <w:rFonts w:ascii="仿宋_GB2312" w:hAnsi="仿宋" w:eastAsia="仿宋_GB2312" w:cs="仿宋"/>
                <w:sz w:val="24"/>
              </w:rPr>
            </w:pPr>
            <w:r>
              <w:rPr>
                <w:rFonts w:hint="eastAsia" w:ascii="仿宋_GB2312" w:hAnsi="仿宋" w:eastAsia="仿宋_GB2312" w:cs="仿宋"/>
                <w:sz w:val="24"/>
              </w:rPr>
              <w:t>4.1创新实践能力</w:t>
            </w:r>
          </w:p>
        </w:tc>
        <w:tc>
          <w:tcPr>
            <w:tcW w:w="4445" w:type="dxa"/>
          </w:tcPr>
          <w:p>
            <w:pPr>
              <w:rPr>
                <w:rFonts w:ascii="仿宋_GB2312" w:hAnsi="仿宋" w:eastAsia="仿宋_GB2312" w:cs="仿宋"/>
                <w:sz w:val="24"/>
              </w:rPr>
            </w:pPr>
            <w:r>
              <w:rPr>
                <w:rFonts w:hint="eastAsia" w:ascii="仿宋_GB2312" w:hAnsi="仿宋" w:eastAsia="仿宋_GB2312" w:cs="仿宋"/>
                <w:sz w:val="24"/>
              </w:rPr>
              <w:t>建设期内学生担任科研助手、参加课外科技训练比例60%以上，或者参与B类及以上学术论文发表、发明专利授权、大学生创新创业项目立项的学生人数超过20%。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rPr>
                <w:rFonts w:ascii="仿宋_GB2312" w:hAnsi="仿宋" w:eastAsia="仿宋_GB2312" w:cs="仿宋"/>
                <w:sz w:val="24"/>
              </w:rPr>
            </w:pPr>
          </w:p>
        </w:tc>
        <w:tc>
          <w:tcPr>
            <w:tcW w:w="2409" w:type="dxa"/>
          </w:tcPr>
          <w:p>
            <w:pPr>
              <w:rPr>
                <w:rFonts w:ascii="仿宋_GB2312" w:hAnsi="仿宋" w:eastAsia="仿宋_GB2312" w:cs="仿宋"/>
                <w:sz w:val="24"/>
              </w:rPr>
            </w:pPr>
            <w:r>
              <w:rPr>
                <w:rFonts w:hint="eastAsia" w:ascii="仿宋_GB2312" w:hAnsi="仿宋" w:eastAsia="仿宋_GB2312" w:cs="仿宋"/>
                <w:sz w:val="24"/>
              </w:rPr>
              <w:t xml:space="preserve">4.2 </w:t>
            </w:r>
            <w:r>
              <w:rPr>
                <w:rFonts w:ascii="仿宋_GB2312" w:hAnsi="仿宋" w:eastAsia="仿宋_GB2312" w:cs="仿宋"/>
                <w:sz w:val="24"/>
              </w:rPr>
              <w:t>CET-4</w:t>
            </w:r>
            <w:r>
              <w:rPr>
                <w:rFonts w:hint="eastAsia" w:ascii="仿宋_GB2312" w:hAnsi="仿宋" w:eastAsia="仿宋_GB2312" w:cs="仿宋"/>
                <w:sz w:val="24"/>
              </w:rPr>
              <w:t>和计算机二级考试</w:t>
            </w:r>
          </w:p>
        </w:tc>
        <w:tc>
          <w:tcPr>
            <w:tcW w:w="4445" w:type="dxa"/>
          </w:tcPr>
          <w:p>
            <w:pPr>
              <w:rPr>
                <w:rFonts w:ascii="仿宋_GB2312" w:hAnsi="仿宋" w:eastAsia="仿宋_GB2312" w:cs="仿宋"/>
                <w:sz w:val="24"/>
              </w:rPr>
            </w:pPr>
            <w:r>
              <w:rPr>
                <w:rFonts w:hint="eastAsia" w:ascii="仿宋_GB2312" w:hAnsi="仿宋" w:eastAsia="仿宋_GB2312" w:cs="仿宋"/>
                <w:sz w:val="24"/>
              </w:rPr>
              <w:t>建设期内每年CET-4考试成绩和计算机二级通过率高于学院下达给所在二级学院的任务指标且高于全院平均值。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rPr>
                <w:rFonts w:ascii="仿宋_GB2312" w:hAnsi="仿宋" w:eastAsia="仿宋_GB2312" w:cs="仿宋"/>
                <w:sz w:val="24"/>
              </w:rPr>
            </w:pPr>
          </w:p>
        </w:tc>
        <w:tc>
          <w:tcPr>
            <w:tcW w:w="2409" w:type="dxa"/>
          </w:tcPr>
          <w:p>
            <w:pPr>
              <w:rPr>
                <w:rFonts w:ascii="仿宋_GB2312" w:hAnsi="仿宋" w:eastAsia="仿宋_GB2312" w:cs="仿宋"/>
                <w:sz w:val="24"/>
              </w:rPr>
            </w:pPr>
            <w:r>
              <w:rPr>
                <w:rFonts w:hint="eastAsia" w:ascii="仿宋_GB2312" w:hAnsi="仿宋" w:eastAsia="仿宋_GB2312" w:cs="仿宋"/>
                <w:sz w:val="24"/>
              </w:rPr>
              <w:t>4.3学科竞赛</w:t>
            </w:r>
          </w:p>
          <w:p>
            <w:pPr>
              <w:rPr>
                <w:rFonts w:ascii="仿宋_GB2312" w:hAnsi="仿宋" w:eastAsia="仿宋_GB2312" w:cs="仿宋"/>
                <w:sz w:val="24"/>
              </w:rPr>
            </w:pPr>
          </w:p>
        </w:tc>
        <w:tc>
          <w:tcPr>
            <w:tcW w:w="4445" w:type="dxa"/>
          </w:tcPr>
          <w:p>
            <w:pPr>
              <w:rPr>
                <w:rFonts w:ascii="仿宋_GB2312" w:hAnsi="仿宋" w:eastAsia="仿宋_GB2312" w:cs="仿宋"/>
                <w:sz w:val="24"/>
              </w:rPr>
            </w:pPr>
            <w:r>
              <w:rPr>
                <w:rFonts w:hint="eastAsia" w:ascii="仿宋_GB2312" w:hAnsi="仿宋" w:eastAsia="仿宋_GB2312" w:cs="仿宋"/>
                <w:sz w:val="24"/>
              </w:rPr>
              <w:t>组织学生积极参加学科竞赛，建设期内获得学科竞赛（一类赛事）省级二等奖（银奖）3项及以上，原则上须有1项省级一等奖（金奖）。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rPr>
                <w:rFonts w:ascii="仿宋_GB2312" w:hAnsi="仿宋" w:eastAsia="仿宋_GB2312" w:cs="仿宋"/>
                <w:sz w:val="24"/>
              </w:rPr>
            </w:pPr>
          </w:p>
        </w:tc>
        <w:tc>
          <w:tcPr>
            <w:tcW w:w="2409" w:type="dxa"/>
          </w:tcPr>
          <w:p>
            <w:pPr>
              <w:rPr>
                <w:rFonts w:ascii="仿宋_GB2312" w:hAnsi="仿宋" w:eastAsia="仿宋_GB2312" w:cs="仿宋"/>
                <w:sz w:val="24"/>
              </w:rPr>
            </w:pPr>
            <w:r>
              <w:rPr>
                <w:rFonts w:hint="eastAsia" w:ascii="仿宋_GB2312" w:hAnsi="仿宋" w:eastAsia="仿宋_GB2312" w:cs="仿宋"/>
                <w:sz w:val="24"/>
              </w:rPr>
              <w:t>4.4学生满意度</w:t>
            </w:r>
          </w:p>
        </w:tc>
        <w:tc>
          <w:tcPr>
            <w:tcW w:w="4445" w:type="dxa"/>
          </w:tcPr>
          <w:p>
            <w:pPr>
              <w:rPr>
                <w:rFonts w:ascii="仿宋_GB2312" w:hAnsi="仿宋" w:eastAsia="仿宋_GB2312" w:cs="仿宋"/>
                <w:sz w:val="24"/>
              </w:rPr>
            </w:pPr>
            <w:r>
              <w:rPr>
                <w:rFonts w:hint="eastAsia" w:ascii="仿宋_GB2312" w:hAnsi="仿宋" w:eastAsia="仿宋_GB2312" w:cs="仿宋"/>
                <w:sz w:val="24"/>
              </w:rPr>
              <w:t>近三年毕业生就业率平均高于93%；用人单位满意度应≥85%（根据浙江省教育评估院毕业生调查数据）。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rPr>
                <w:rFonts w:ascii="仿宋_GB2312" w:hAnsi="仿宋" w:eastAsia="仿宋_GB2312" w:cs="仿宋"/>
                <w:sz w:val="24"/>
              </w:rPr>
            </w:pPr>
          </w:p>
        </w:tc>
        <w:tc>
          <w:tcPr>
            <w:tcW w:w="2409" w:type="dxa"/>
          </w:tcPr>
          <w:p>
            <w:pPr>
              <w:rPr>
                <w:rFonts w:ascii="仿宋_GB2312" w:hAnsi="仿宋" w:eastAsia="仿宋_GB2312" w:cs="仿宋"/>
                <w:sz w:val="24"/>
              </w:rPr>
            </w:pPr>
            <w:r>
              <w:rPr>
                <w:rFonts w:hint="eastAsia" w:ascii="仿宋_GB2312" w:hAnsi="仿宋" w:eastAsia="仿宋_GB2312" w:cs="仿宋"/>
                <w:sz w:val="24"/>
              </w:rPr>
              <w:t>4.5专业质量保障体系</w:t>
            </w:r>
          </w:p>
        </w:tc>
        <w:tc>
          <w:tcPr>
            <w:tcW w:w="4445" w:type="dxa"/>
          </w:tcPr>
          <w:p>
            <w:pPr>
              <w:rPr>
                <w:rFonts w:ascii="仿宋_GB2312" w:eastAsia="仿宋_GB2312"/>
              </w:rPr>
            </w:pPr>
            <w:r>
              <w:rPr>
                <w:rFonts w:hint="eastAsia" w:ascii="仿宋_GB2312" w:hAnsi="仿宋" w:eastAsia="仿宋_GB2312" w:cs="仿宋"/>
                <w:sz w:val="24"/>
              </w:rPr>
              <w:t>构建较为完善的内部质量监控机制，定期收集毕业生和用人单位评价信息进行综合分析、持续改进。可以申请的工科专业通过专业认证/评估，其他专业通过院内专业认证/评估。</w:t>
            </w:r>
          </w:p>
        </w:tc>
      </w:tr>
    </w:tbl>
    <w:p>
      <w:pPr>
        <w:widowControl/>
        <w:spacing w:line="20" w:lineRule="exact"/>
        <w:jc w:val="left"/>
        <w:rPr>
          <w:rFonts w:ascii="Times New Roman" w:hAnsi="Times New Roman" w:eastAsia="仿宋_GB2312" w:cs="Times New Roman"/>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Y272+ZMEImn-273">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1"/>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7A"/>
    <w:rsid w:val="00001977"/>
    <w:rsid w:val="000037D4"/>
    <w:rsid w:val="0000533E"/>
    <w:rsid w:val="0000699C"/>
    <w:rsid w:val="000150D7"/>
    <w:rsid w:val="00016A13"/>
    <w:rsid w:val="00021294"/>
    <w:rsid w:val="00023313"/>
    <w:rsid w:val="00024A56"/>
    <w:rsid w:val="00026BE7"/>
    <w:rsid w:val="0002735B"/>
    <w:rsid w:val="00032C8D"/>
    <w:rsid w:val="00033E91"/>
    <w:rsid w:val="00035B42"/>
    <w:rsid w:val="000457EC"/>
    <w:rsid w:val="00045E33"/>
    <w:rsid w:val="00045EC3"/>
    <w:rsid w:val="00051CC4"/>
    <w:rsid w:val="0005676F"/>
    <w:rsid w:val="00056A51"/>
    <w:rsid w:val="000576A8"/>
    <w:rsid w:val="00063BB4"/>
    <w:rsid w:val="00063EBC"/>
    <w:rsid w:val="0006779A"/>
    <w:rsid w:val="000752E4"/>
    <w:rsid w:val="0008348C"/>
    <w:rsid w:val="000855C9"/>
    <w:rsid w:val="00087A45"/>
    <w:rsid w:val="000910DF"/>
    <w:rsid w:val="00095705"/>
    <w:rsid w:val="00097FA9"/>
    <w:rsid w:val="000A4182"/>
    <w:rsid w:val="000B5EE5"/>
    <w:rsid w:val="000D47B5"/>
    <w:rsid w:val="000D6CAA"/>
    <w:rsid w:val="000E4BB8"/>
    <w:rsid w:val="000E63BA"/>
    <w:rsid w:val="000E7F2D"/>
    <w:rsid w:val="000F20FF"/>
    <w:rsid w:val="000F4AA7"/>
    <w:rsid w:val="0010416B"/>
    <w:rsid w:val="001043BD"/>
    <w:rsid w:val="00115D31"/>
    <w:rsid w:val="001245E6"/>
    <w:rsid w:val="00127F60"/>
    <w:rsid w:val="00130A79"/>
    <w:rsid w:val="00141D00"/>
    <w:rsid w:val="00142CA5"/>
    <w:rsid w:val="001471AF"/>
    <w:rsid w:val="00147A7E"/>
    <w:rsid w:val="001527BE"/>
    <w:rsid w:val="00156F6A"/>
    <w:rsid w:val="00157477"/>
    <w:rsid w:val="0016407A"/>
    <w:rsid w:val="00167969"/>
    <w:rsid w:val="00172147"/>
    <w:rsid w:val="001747F4"/>
    <w:rsid w:val="00180509"/>
    <w:rsid w:val="001831E0"/>
    <w:rsid w:val="00184E45"/>
    <w:rsid w:val="001971B8"/>
    <w:rsid w:val="00197C83"/>
    <w:rsid w:val="001B22EE"/>
    <w:rsid w:val="001B31DD"/>
    <w:rsid w:val="001B7340"/>
    <w:rsid w:val="001C1EC9"/>
    <w:rsid w:val="001C4954"/>
    <w:rsid w:val="001C4ED5"/>
    <w:rsid w:val="001C6150"/>
    <w:rsid w:val="001D64A9"/>
    <w:rsid w:val="001E0017"/>
    <w:rsid w:val="001E0359"/>
    <w:rsid w:val="001E1DA3"/>
    <w:rsid w:val="001E214A"/>
    <w:rsid w:val="001F00AC"/>
    <w:rsid w:val="001F08AE"/>
    <w:rsid w:val="001F19B9"/>
    <w:rsid w:val="001F219B"/>
    <w:rsid w:val="002009AD"/>
    <w:rsid w:val="0020129E"/>
    <w:rsid w:val="00204FFC"/>
    <w:rsid w:val="00205092"/>
    <w:rsid w:val="002062ED"/>
    <w:rsid w:val="002070A6"/>
    <w:rsid w:val="002103B7"/>
    <w:rsid w:val="002109E9"/>
    <w:rsid w:val="00211821"/>
    <w:rsid w:val="00211859"/>
    <w:rsid w:val="002129D8"/>
    <w:rsid w:val="00213C46"/>
    <w:rsid w:val="00221768"/>
    <w:rsid w:val="00230351"/>
    <w:rsid w:val="0023310F"/>
    <w:rsid w:val="00240669"/>
    <w:rsid w:val="00241382"/>
    <w:rsid w:val="00244E66"/>
    <w:rsid w:val="00261762"/>
    <w:rsid w:val="002672F5"/>
    <w:rsid w:val="00273E8C"/>
    <w:rsid w:val="00274B78"/>
    <w:rsid w:val="00281264"/>
    <w:rsid w:val="00282666"/>
    <w:rsid w:val="0028468C"/>
    <w:rsid w:val="002864F8"/>
    <w:rsid w:val="00287B99"/>
    <w:rsid w:val="00287E82"/>
    <w:rsid w:val="00292E68"/>
    <w:rsid w:val="00292E74"/>
    <w:rsid w:val="002950EE"/>
    <w:rsid w:val="002A2DAF"/>
    <w:rsid w:val="002A309C"/>
    <w:rsid w:val="002A37C7"/>
    <w:rsid w:val="002A55C2"/>
    <w:rsid w:val="002A618C"/>
    <w:rsid w:val="002A7184"/>
    <w:rsid w:val="002B64BF"/>
    <w:rsid w:val="002B7E2D"/>
    <w:rsid w:val="002C0374"/>
    <w:rsid w:val="002C3C5C"/>
    <w:rsid w:val="002C4A3C"/>
    <w:rsid w:val="002C54C6"/>
    <w:rsid w:val="002C57CA"/>
    <w:rsid w:val="002C7408"/>
    <w:rsid w:val="002D1798"/>
    <w:rsid w:val="002D2271"/>
    <w:rsid w:val="002D3946"/>
    <w:rsid w:val="002D5067"/>
    <w:rsid w:val="002D645A"/>
    <w:rsid w:val="002D7184"/>
    <w:rsid w:val="002E29B0"/>
    <w:rsid w:val="002E389D"/>
    <w:rsid w:val="002E47D0"/>
    <w:rsid w:val="002E4E36"/>
    <w:rsid w:val="002E77E3"/>
    <w:rsid w:val="002F2874"/>
    <w:rsid w:val="002F402A"/>
    <w:rsid w:val="002F55BE"/>
    <w:rsid w:val="002F748C"/>
    <w:rsid w:val="003015F9"/>
    <w:rsid w:val="00301C8E"/>
    <w:rsid w:val="0030717E"/>
    <w:rsid w:val="00317624"/>
    <w:rsid w:val="00323737"/>
    <w:rsid w:val="00326A5D"/>
    <w:rsid w:val="003274D3"/>
    <w:rsid w:val="00334633"/>
    <w:rsid w:val="00337E16"/>
    <w:rsid w:val="00337F18"/>
    <w:rsid w:val="00342139"/>
    <w:rsid w:val="00344A31"/>
    <w:rsid w:val="003474AB"/>
    <w:rsid w:val="00351D8D"/>
    <w:rsid w:val="00356AF3"/>
    <w:rsid w:val="00357E28"/>
    <w:rsid w:val="0036300B"/>
    <w:rsid w:val="00365AC0"/>
    <w:rsid w:val="00373684"/>
    <w:rsid w:val="00376830"/>
    <w:rsid w:val="00376F7A"/>
    <w:rsid w:val="00383A68"/>
    <w:rsid w:val="00385868"/>
    <w:rsid w:val="00393C45"/>
    <w:rsid w:val="00394C25"/>
    <w:rsid w:val="0039750C"/>
    <w:rsid w:val="003A4374"/>
    <w:rsid w:val="003A4EB4"/>
    <w:rsid w:val="003B3751"/>
    <w:rsid w:val="003B5E3F"/>
    <w:rsid w:val="003B60CC"/>
    <w:rsid w:val="003C1FC6"/>
    <w:rsid w:val="003C3AB5"/>
    <w:rsid w:val="003C45C5"/>
    <w:rsid w:val="003D260D"/>
    <w:rsid w:val="003D3864"/>
    <w:rsid w:val="003E2326"/>
    <w:rsid w:val="003E28F3"/>
    <w:rsid w:val="003E65CF"/>
    <w:rsid w:val="003F09E4"/>
    <w:rsid w:val="003F1447"/>
    <w:rsid w:val="003F213F"/>
    <w:rsid w:val="003F5445"/>
    <w:rsid w:val="004119F6"/>
    <w:rsid w:val="00425901"/>
    <w:rsid w:val="0043437A"/>
    <w:rsid w:val="00434B71"/>
    <w:rsid w:val="00442395"/>
    <w:rsid w:val="0044476B"/>
    <w:rsid w:val="004539F4"/>
    <w:rsid w:val="00464569"/>
    <w:rsid w:val="00465096"/>
    <w:rsid w:val="00466128"/>
    <w:rsid w:val="00466E86"/>
    <w:rsid w:val="00472AC0"/>
    <w:rsid w:val="004759F6"/>
    <w:rsid w:val="0048713D"/>
    <w:rsid w:val="004926D7"/>
    <w:rsid w:val="0049756D"/>
    <w:rsid w:val="004976F1"/>
    <w:rsid w:val="004A02B7"/>
    <w:rsid w:val="004A2F5D"/>
    <w:rsid w:val="004A3E79"/>
    <w:rsid w:val="004A7359"/>
    <w:rsid w:val="004B3B8D"/>
    <w:rsid w:val="004B58F9"/>
    <w:rsid w:val="004C0C3D"/>
    <w:rsid w:val="004C25BC"/>
    <w:rsid w:val="004C3B01"/>
    <w:rsid w:val="004D159F"/>
    <w:rsid w:val="004D23CB"/>
    <w:rsid w:val="004D4018"/>
    <w:rsid w:val="004D51A4"/>
    <w:rsid w:val="004D6E72"/>
    <w:rsid w:val="004D7F35"/>
    <w:rsid w:val="004E45AA"/>
    <w:rsid w:val="004E727A"/>
    <w:rsid w:val="00510504"/>
    <w:rsid w:val="00512369"/>
    <w:rsid w:val="00512B40"/>
    <w:rsid w:val="005204AF"/>
    <w:rsid w:val="00524E54"/>
    <w:rsid w:val="00532521"/>
    <w:rsid w:val="005333BC"/>
    <w:rsid w:val="005359F3"/>
    <w:rsid w:val="0054029C"/>
    <w:rsid w:val="005503F5"/>
    <w:rsid w:val="00552933"/>
    <w:rsid w:val="00555242"/>
    <w:rsid w:val="00555D11"/>
    <w:rsid w:val="005566CE"/>
    <w:rsid w:val="00557899"/>
    <w:rsid w:val="0056019C"/>
    <w:rsid w:val="00560A5A"/>
    <w:rsid w:val="0056226B"/>
    <w:rsid w:val="0056348E"/>
    <w:rsid w:val="005654B4"/>
    <w:rsid w:val="0056557D"/>
    <w:rsid w:val="005746A1"/>
    <w:rsid w:val="00576AEF"/>
    <w:rsid w:val="00576B38"/>
    <w:rsid w:val="00585090"/>
    <w:rsid w:val="0059004D"/>
    <w:rsid w:val="005A0D2D"/>
    <w:rsid w:val="005A3BDF"/>
    <w:rsid w:val="005A503A"/>
    <w:rsid w:val="005A5B82"/>
    <w:rsid w:val="005B07CE"/>
    <w:rsid w:val="005B0E71"/>
    <w:rsid w:val="005B4E37"/>
    <w:rsid w:val="005B66CB"/>
    <w:rsid w:val="005C1610"/>
    <w:rsid w:val="005C2092"/>
    <w:rsid w:val="005C4935"/>
    <w:rsid w:val="005C4BA8"/>
    <w:rsid w:val="005C51E9"/>
    <w:rsid w:val="005C6793"/>
    <w:rsid w:val="005D4926"/>
    <w:rsid w:val="005D7475"/>
    <w:rsid w:val="005E42E9"/>
    <w:rsid w:val="005F1B90"/>
    <w:rsid w:val="005F686B"/>
    <w:rsid w:val="006003AA"/>
    <w:rsid w:val="006022F3"/>
    <w:rsid w:val="006042A0"/>
    <w:rsid w:val="0060694B"/>
    <w:rsid w:val="00610ABA"/>
    <w:rsid w:val="00613C07"/>
    <w:rsid w:val="006164D9"/>
    <w:rsid w:val="006202D3"/>
    <w:rsid w:val="00623691"/>
    <w:rsid w:val="00623D20"/>
    <w:rsid w:val="00624D19"/>
    <w:rsid w:val="00626DD3"/>
    <w:rsid w:val="00627A83"/>
    <w:rsid w:val="00630AE3"/>
    <w:rsid w:val="0063420B"/>
    <w:rsid w:val="00641567"/>
    <w:rsid w:val="006427BA"/>
    <w:rsid w:val="006507A5"/>
    <w:rsid w:val="00655614"/>
    <w:rsid w:val="00664003"/>
    <w:rsid w:val="006664CD"/>
    <w:rsid w:val="006666FC"/>
    <w:rsid w:val="0067160D"/>
    <w:rsid w:val="00673592"/>
    <w:rsid w:val="00674A90"/>
    <w:rsid w:val="006803A2"/>
    <w:rsid w:val="00684294"/>
    <w:rsid w:val="00686FEB"/>
    <w:rsid w:val="006871BA"/>
    <w:rsid w:val="0068748D"/>
    <w:rsid w:val="00690FFE"/>
    <w:rsid w:val="006944A1"/>
    <w:rsid w:val="006950B0"/>
    <w:rsid w:val="00695235"/>
    <w:rsid w:val="006961DC"/>
    <w:rsid w:val="0069784E"/>
    <w:rsid w:val="006A321C"/>
    <w:rsid w:val="006A4540"/>
    <w:rsid w:val="006A6115"/>
    <w:rsid w:val="006B3458"/>
    <w:rsid w:val="006B35E3"/>
    <w:rsid w:val="006C4DCC"/>
    <w:rsid w:val="006C7208"/>
    <w:rsid w:val="006D5366"/>
    <w:rsid w:val="006D77BC"/>
    <w:rsid w:val="006E1C6D"/>
    <w:rsid w:val="006E695A"/>
    <w:rsid w:val="006E73CF"/>
    <w:rsid w:val="006F1223"/>
    <w:rsid w:val="006F28EC"/>
    <w:rsid w:val="006F3D47"/>
    <w:rsid w:val="00701FF1"/>
    <w:rsid w:val="00704534"/>
    <w:rsid w:val="00705E71"/>
    <w:rsid w:val="00707CC9"/>
    <w:rsid w:val="00711291"/>
    <w:rsid w:val="00715E65"/>
    <w:rsid w:val="00722B15"/>
    <w:rsid w:val="00724438"/>
    <w:rsid w:val="0072691D"/>
    <w:rsid w:val="0073010F"/>
    <w:rsid w:val="007342E3"/>
    <w:rsid w:val="00735A2E"/>
    <w:rsid w:val="00742D3B"/>
    <w:rsid w:val="007458CC"/>
    <w:rsid w:val="00750011"/>
    <w:rsid w:val="00753946"/>
    <w:rsid w:val="0076179C"/>
    <w:rsid w:val="00762D20"/>
    <w:rsid w:val="00764817"/>
    <w:rsid w:val="00765779"/>
    <w:rsid w:val="007726C0"/>
    <w:rsid w:val="00775D64"/>
    <w:rsid w:val="00776BC4"/>
    <w:rsid w:val="00783E48"/>
    <w:rsid w:val="00795CB8"/>
    <w:rsid w:val="00797018"/>
    <w:rsid w:val="007A3066"/>
    <w:rsid w:val="007A33B1"/>
    <w:rsid w:val="007B7EE0"/>
    <w:rsid w:val="007C1ABD"/>
    <w:rsid w:val="007C251C"/>
    <w:rsid w:val="007C77E7"/>
    <w:rsid w:val="007C7B34"/>
    <w:rsid w:val="007D01D8"/>
    <w:rsid w:val="007D6A1D"/>
    <w:rsid w:val="007E6D19"/>
    <w:rsid w:val="007E6F2F"/>
    <w:rsid w:val="007F0CF0"/>
    <w:rsid w:val="007F3332"/>
    <w:rsid w:val="007F4563"/>
    <w:rsid w:val="00800015"/>
    <w:rsid w:val="008041A8"/>
    <w:rsid w:val="00807746"/>
    <w:rsid w:val="0081453F"/>
    <w:rsid w:val="008148D6"/>
    <w:rsid w:val="0081614B"/>
    <w:rsid w:val="00816BA2"/>
    <w:rsid w:val="00824D9D"/>
    <w:rsid w:val="00824DDA"/>
    <w:rsid w:val="00832979"/>
    <w:rsid w:val="00834638"/>
    <w:rsid w:val="00837F19"/>
    <w:rsid w:val="008413CD"/>
    <w:rsid w:val="00844734"/>
    <w:rsid w:val="00846190"/>
    <w:rsid w:val="008513D9"/>
    <w:rsid w:val="00852862"/>
    <w:rsid w:val="0086752B"/>
    <w:rsid w:val="00867D24"/>
    <w:rsid w:val="0087236B"/>
    <w:rsid w:val="00874612"/>
    <w:rsid w:val="00875CAE"/>
    <w:rsid w:val="00876E07"/>
    <w:rsid w:val="00881E45"/>
    <w:rsid w:val="00887829"/>
    <w:rsid w:val="00887E7B"/>
    <w:rsid w:val="008932B3"/>
    <w:rsid w:val="008933B1"/>
    <w:rsid w:val="008A1FEF"/>
    <w:rsid w:val="008B6018"/>
    <w:rsid w:val="008C299A"/>
    <w:rsid w:val="008C7A99"/>
    <w:rsid w:val="008D1207"/>
    <w:rsid w:val="008D3F2A"/>
    <w:rsid w:val="008D6B5D"/>
    <w:rsid w:val="008E0294"/>
    <w:rsid w:val="008E060E"/>
    <w:rsid w:val="008E3BC4"/>
    <w:rsid w:val="008E733B"/>
    <w:rsid w:val="008F295B"/>
    <w:rsid w:val="008F756C"/>
    <w:rsid w:val="0090516F"/>
    <w:rsid w:val="009057D8"/>
    <w:rsid w:val="0091375A"/>
    <w:rsid w:val="00917C95"/>
    <w:rsid w:val="0092000B"/>
    <w:rsid w:val="00920748"/>
    <w:rsid w:val="00920799"/>
    <w:rsid w:val="009226B7"/>
    <w:rsid w:val="00922B1D"/>
    <w:rsid w:val="00922B98"/>
    <w:rsid w:val="00922F56"/>
    <w:rsid w:val="0093202D"/>
    <w:rsid w:val="00940935"/>
    <w:rsid w:val="00953373"/>
    <w:rsid w:val="0095668A"/>
    <w:rsid w:val="00962E3F"/>
    <w:rsid w:val="0097042B"/>
    <w:rsid w:val="00970F42"/>
    <w:rsid w:val="00992108"/>
    <w:rsid w:val="009A0919"/>
    <w:rsid w:val="009A47D6"/>
    <w:rsid w:val="009A7526"/>
    <w:rsid w:val="009B1A43"/>
    <w:rsid w:val="009B78A3"/>
    <w:rsid w:val="009C1B48"/>
    <w:rsid w:val="009C5B07"/>
    <w:rsid w:val="009D5F22"/>
    <w:rsid w:val="009D7402"/>
    <w:rsid w:val="009E4061"/>
    <w:rsid w:val="009F00E5"/>
    <w:rsid w:val="009F2438"/>
    <w:rsid w:val="009F259E"/>
    <w:rsid w:val="009F3ABE"/>
    <w:rsid w:val="009F6468"/>
    <w:rsid w:val="009F7990"/>
    <w:rsid w:val="00A038A7"/>
    <w:rsid w:val="00A1307B"/>
    <w:rsid w:val="00A14E52"/>
    <w:rsid w:val="00A17266"/>
    <w:rsid w:val="00A2292A"/>
    <w:rsid w:val="00A2476C"/>
    <w:rsid w:val="00A25792"/>
    <w:rsid w:val="00A26509"/>
    <w:rsid w:val="00A26880"/>
    <w:rsid w:val="00A26F96"/>
    <w:rsid w:val="00A27D63"/>
    <w:rsid w:val="00A32E17"/>
    <w:rsid w:val="00A333CB"/>
    <w:rsid w:val="00A37DBC"/>
    <w:rsid w:val="00A4007F"/>
    <w:rsid w:val="00A40DDD"/>
    <w:rsid w:val="00A41C12"/>
    <w:rsid w:val="00A460A2"/>
    <w:rsid w:val="00A4666C"/>
    <w:rsid w:val="00A52072"/>
    <w:rsid w:val="00A52C57"/>
    <w:rsid w:val="00A61E6A"/>
    <w:rsid w:val="00A6236C"/>
    <w:rsid w:val="00A74682"/>
    <w:rsid w:val="00A74D60"/>
    <w:rsid w:val="00A9081B"/>
    <w:rsid w:val="00A924C2"/>
    <w:rsid w:val="00A96FAA"/>
    <w:rsid w:val="00AA01AC"/>
    <w:rsid w:val="00AA06FD"/>
    <w:rsid w:val="00AA277A"/>
    <w:rsid w:val="00AB3F86"/>
    <w:rsid w:val="00AC39C7"/>
    <w:rsid w:val="00AD5C3D"/>
    <w:rsid w:val="00AD769A"/>
    <w:rsid w:val="00AE079E"/>
    <w:rsid w:val="00AE1D92"/>
    <w:rsid w:val="00AE3E39"/>
    <w:rsid w:val="00AE53D4"/>
    <w:rsid w:val="00AF0A66"/>
    <w:rsid w:val="00AF3833"/>
    <w:rsid w:val="00AF560D"/>
    <w:rsid w:val="00AF695E"/>
    <w:rsid w:val="00B01EF6"/>
    <w:rsid w:val="00B02648"/>
    <w:rsid w:val="00B17EE1"/>
    <w:rsid w:val="00B23658"/>
    <w:rsid w:val="00B3792E"/>
    <w:rsid w:val="00B43348"/>
    <w:rsid w:val="00B46166"/>
    <w:rsid w:val="00B561CF"/>
    <w:rsid w:val="00B632EF"/>
    <w:rsid w:val="00B646FD"/>
    <w:rsid w:val="00B65B5B"/>
    <w:rsid w:val="00B672D5"/>
    <w:rsid w:val="00B76526"/>
    <w:rsid w:val="00B772E7"/>
    <w:rsid w:val="00B9332C"/>
    <w:rsid w:val="00B93579"/>
    <w:rsid w:val="00B9581D"/>
    <w:rsid w:val="00B95EA0"/>
    <w:rsid w:val="00B972A0"/>
    <w:rsid w:val="00BA06D8"/>
    <w:rsid w:val="00BA411E"/>
    <w:rsid w:val="00BA4555"/>
    <w:rsid w:val="00BA474F"/>
    <w:rsid w:val="00BB3C46"/>
    <w:rsid w:val="00BB63DC"/>
    <w:rsid w:val="00BB6AF6"/>
    <w:rsid w:val="00BC01AB"/>
    <w:rsid w:val="00BC386A"/>
    <w:rsid w:val="00BC51A0"/>
    <w:rsid w:val="00BC5759"/>
    <w:rsid w:val="00BC7266"/>
    <w:rsid w:val="00BD011F"/>
    <w:rsid w:val="00BD2213"/>
    <w:rsid w:val="00BD315B"/>
    <w:rsid w:val="00BD578D"/>
    <w:rsid w:val="00BE016F"/>
    <w:rsid w:val="00BE4DEC"/>
    <w:rsid w:val="00BE5925"/>
    <w:rsid w:val="00BE5ACC"/>
    <w:rsid w:val="00BF2C27"/>
    <w:rsid w:val="00BF346F"/>
    <w:rsid w:val="00BF3B39"/>
    <w:rsid w:val="00BF5149"/>
    <w:rsid w:val="00C01E41"/>
    <w:rsid w:val="00C02EBD"/>
    <w:rsid w:val="00C03339"/>
    <w:rsid w:val="00C12EDC"/>
    <w:rsid w:val="00C1323A"/>
    <w:rsid w:val="00C27147"/>
    <w:rsid w:val="00C309A4"/>
    <w:rsid w:val="00C34F79"/>
    <w:rsid w:val="00C40218"/>
    <w:rsid w:val="00C44980"/>
    <w:rsid w:val="00C449C7"/>
    <w:rsid w:val="00C456FC"/>
    <w:rsid w:val="00C47826"/>
    <w:rsid w:val="00C503E4"/>
    <w:rsid w:val="00C529E6"/>
    <w:rsid w:val="00C5442E"/>
    <w:rsid w:val="00C66D25"/>
    <w:rsid w:val="00C70F0A"/>
    <w:rsid w:val="00C7327B"/>
    <w:rsid w:val="00C77F3D"/>
    <w:rsid w:val="00C843F8"/>
    <w:rsid w:val="00C91FDD"/>
    <w:rsid w:val="00C953C3"/>
    <w:rsid w:val="00CA2245"/>
    <w:rsid w:val="00CB2368"/>
    <w:rsid w:val="00CB5A54"/>
    <w:rsid w:val="00CB7EF0"/>
    <w:rsid w:val="00CC0EF1"/>
    <w:rsid w:val="00CD73CC"/>
    <w:rsid w:val="00CE09C8"/>
    <w:rsid w:val="00CE0DDD"/>
    <w:rsid w:val="00CE41BD"/>
    <w:rsid w:val="00CE66B0"/>
    <w:rsid w:val="00CF0F6B"/>
    <w:rsid w:val="00CF39E9"/>
    <w:rsid w:val="00CF3ED7"/>
    <w:rsid w:val="00CF6F21"/>
    <w:rsid w:val="00D030C0"/>
    <w:rsid w:val="00D033D7"/>
    <w:rsid w:val="00D075E0"/>
    <w:rsid w:val="00D111EB"/>
    <w:rsid w:val="00D1533C"/>
    <w:rsid w:val="00D16E9D"/>
    <w:rsid w:val="00D23A39"/>
    <w:rsid w:val="00D249D7"/>
    <w:rsid w:val="00D24DF0"/>
    <w:rsid w:val="00D25435"/>
    <w:rsid w:val="00D275FC"/>
    <w:rsid w:val="00D31981"/>
    <w:rsid w:val="00D33D5F"/>
    <w:rsid w:val="00D354D5"/>
    <w:rsid w:val="00D363C4"/>
    <w:rsid w:val="00D41F08"/>
    <w:rsid w:val="00D44F67"/>
    <w:rsid w:val="00D45758"/>
    <w:rsid w:val="00D46B4A"/>
    <w:rsid w:val="00D50AD6"/>
    <w:rsid w:val="00D526E2"/>
    <w:rsid w:val="00D5447B"/>
    <w:rsid w:val="00D56408"/>
    <w:rsid w:val="00D60217"/>
    <w:rsid w:val="00D704F8"/>
    <w:rsid w:val="00D741B9"/>
    <w:rsid w:val="00D84232"/>
    <w:rsid w:val="00D90202"/>
    <w:rsid w:val="00D96166"/>
    <w:rsid w:val="00DA0952"/>
    <w:rsid w:val="00DA42AD"/>
    <w:rsid w:val="00DA4BBA"/>
    <w:rsid w:val="00DB0356"/>
    <w:rsid w:val="00DB3474"/>
    <w:rsid w:val="00DB3EDB"/>
    <w:rsid w:val="00DB48DF"/>
    <w:rsid w:val="00DB653D"/>
    <w:rsid w:val="00DB7D12"/>
    <w:rsid w:val="00DC33FE"/>
    <w:rsid w:val="00DC4928"/>
    <w:rsid w:val="00DC7512"/>
    <w:rsid w:val="00DC78DF"/>
    <w:rsid w:val="00DD1C5E"/>
    <w:rsid w:val="00DD20F9"/>
    <w:rsid w:val="00DD2207"/>
    <w:rsid w:val="00DD4FC3"/>
    <w:rsid w:val="00DD66CD"/>
    <w:rsid w:val="00DE0158"/>
    <w:rsid w:val="00DE1372"/>
    <w:rsid w:val="00DE612E"/>
    <w:rsid w:val="00DE62FC"/>
    <w:rsid w:val="00DE7993"/>
    <w:rsid w:val="00DF4272"/>
    <w:rsid w:val="00DF49EA"/>
    <w:rsid w:val="00DF5893"/>
    <w:rsid w:val="00DF6EAF"/>
    <w:rsid w:val="00DF7945"/>
    <w:rsid w:val="00E0040F"/>
    <w:rsid w:val="00E00438"/>
    <w:rsid w:val="00E02221"/>
    <w:rsid w:val="00E0436D"/>
    <w:rsid w:val="00E05F49"/>
    <w:rsid w:val="00E077BB"/>
    <w:rsid w:val="00E12878"/>
    <w:rsid w:val="00E1288A"/>
    <w:rsid w:val="00E13528"/>
    <w:rsid w:val="00E15CE8"/>
    <w:rsid w:val="00E16BD1"/>
    <w:rsid w:val="00E241F0"/>
    <w:rsid w:val="00E2525F"/>
    <w:rsid w:val="00E32526"/>
    <w:rsid w:val="00E33CB2"/>
    <w:rsid w:val="00E34276"/>
    <w:rsid w:val="00E35DD2"/>
    <w:rsid w:val="00E41062"/>
    <w:rsid w:val="00E4339E"/>
    <w:rsid w:val="00E433ED"/>
    <w:rsid w:val="00E43730"/>
    <w:rsid w:val="00E440C8"/>
    <w:rsid w:val="00E465A5"/>
    <w:rsid w:val="00E569D2"/>
    <w:rsid w:val="00E57351"/>
    <w:rsid w:val="00E6379B"/>
    <w:rsid w:val="00E63A8C"/>
    <w:rsid w:val="00E63AD1"/>
    <w:rsid w:val="00E655F5"/>
    <w:rsid w:val="00E703CC"/>
    <w:rsid w:val="00E754DC"/>
    <w:rsid w:val="00E75873"/>
    <w:rsid w:val="00E760F4"/>
    <w:rsid w:val="00E8123E"/>
    <w:rsid w:val="00E84FDC"/>
    <w:rsid w:val="00E8567D"/>
    <w:rsid w:val="00E9287F"/>
    <w:rsid w:val="00E93C98"/>
    <w:rsid w:val="00EA0488"/>
    <w:rsid w:val="00EA1782"/>
    <w:rsid w:val="00EA41A9"/>
    <w:rsid w:val="00EA435E"/>
    <w:rsid w:val="00EA54C8"/>
    <w:rsid w:val="00EA5FA9"/>
    <w:rsid w:val="00EA647D"/>
    <w:rsid w:val="00EA72FB"/>
    <w:rsid w:val="00EB2639"/>
    <w:rsid w:val="00EB34DC"/>
    <w:rsid w:val="00EB741C"/>
    <w:rsid w:val="00EC19AD"/>
    <w:rsid w:val="00EC5486"/>
    <w:rsid w:val="00EC5A94"/>
    <w:rsid w:val="00EC7211"/>
    <w:rsid w:val="00ED238A"/>
    <w:rsid w:val="00ED32F9"/>
    <w:rsid w:val="00ED40BC"/>
    <w:rsid w:val="00ED53F4"/>
    <w:rsid w:val="00ED601A"/>
    <w:rsid w:val="00ED6E75"/>
    <w:rsid w:val="00EE4C6C"/>
    <w:rsid w:val="00EE7747"/>
    <w:rsid w:val="00EF3846"/>
    <w:rsid w:val="00EF5A70"/>
    <w:rsid w:val="00F000F1"/>
    <w:rsid w:val="00F00341"/>
    <w:rsid w:val="00F00B1D"/>
    <w:rsid w:val="00F024FD"/>
    <w:rsid w:val="00F048E9"/>
    <w:rsid w:val="00F052CA"/>
    <w:rsid w:val="00F070CA"/>
    <w:rsid w:val="00F10379"/>
    <w:rsid w:val="00F136A0"/>
    <w:rsid w:val="00F13C0B"/>
    <w:rsid w:val="00F208D4"/>
    <w:rsid w:val="00F21480"/>
    <w:rsid w:val="00F22C51"/>
    <w:rsid w:val="00F2469A"/>
    <w:rsid w:val="00F24AEA"/>
    <w:rsid w:val="00F252DD"/>
    <w:rsid w:val="00F27716"/>
    <w:rsid w:val="00F30196"/>
    <w:rsid w:val="00F30CF6"/>
    <w:rsid w:val="00F360B4"/>
    <w:rsid w:val="00F46139"/>
    <w:rsid w:val="00F46FB5"/>
    <w:rsid w:val="00F4751F"/>
    <w:rsid w:val="00F51DE9"/>
    <w:rsid w:val="00F52382"/>
    <w:rsid w:val="00F7155F"/>
    <w:rsid w:val="00F83536"/>
    <w:rsid w:val="00F8422F"/>
    <w:rsid w:val="00F90B22"/>
    <w:rsid w:val="00F90B6C"/>
    <w:rsid w:val="00F90E0C"/>
    <w:rsid w:val="00F92743"/>
    <w:rsid w:val="00F928A1"/>
    <w:rsid w:val="00F92D9D"/>
    <w:rsid w:val="00F92DB2"/>
    <w:rsid w:val="00F95E4F"/>
    <w:rsid w:val="00F97AFC"/>
    <w:rsid w:val="00FA32BD"/>
    <w:rsid w:val="00FA4A11"/>
    <w:rsid w:val="00FB2A52"/>
    <w:rsid w:val="00FB4110"/>
    <w:rsid w:val="00FB635E"/>
    <w:rsid w:val="00FB7087"/>
    <w:rsid w:val="00FC13B5"/>
    <w:rsid w:val="00FC49E8"/>
    <w:rsid w:val="00FD10A8"/>
    <w:rsid w:val="00FD7CB0"/>
    <w:rsid w:val="00FE6499"/>
    <w:rsid w:val="00FE7403"/>
    <w:rsid w:val="00FE7D08"/>
    <w:rsid w:val="00FF04E7"/>
    <w:rsid w:val="00FF1137"/>
    <w:rsid w:val="00FF48AB"/>
    <w:rsid w:val="01845364"/>
    <w:rsid w:val="02C7310C"/>
    <w:rsid w:val="02DF16FD"/>
    <w:rsid w:val="041F057D"/>
    <w:rsid w:val="049325FD"/>
    <w:rsid w:val="054D04BC"/>
    <w:rsid w:val="0591152B"/>
    <w:rsid w:val="06212ED3"/>
    <w:rsid w:val="0848030A"/>
    <w:rsid w:val="08482F8D"/>
    <w:rsid w:val="0A410882"/>
    <w:rsid w:val="0A7D5023"/>
    <w:rsid w:val="0ABD26AB"/>
    <w:rsid w:val="0D87129F"/>
    <w:rsid w:val="0EE76E92"/>
    <w:rsid w:val="0EF63553"/>
    <w:rsid w:val="0FB00487"/>
    <w:rsid w:val="0FF90AF8"/>
    <w:rsid w:val="11916DBB"/>
    <w:rsid w:val="137130B6"/>
    <w:rsid w:val="13F85C88"/>
    <w:rsid w:val="14044602"/>
    <w:rsid w:val="14F1582E"/>
    <w:rsid w:val="15596F1B"/>
    <w:rsid w:val="185B55EF"/>
    <w:rsid w:val="19D16AB0"/>
    <w:rsid w:val="19F02985"/>
    <w:rsid w:val="1A185D4E"/>
    <w:rsid w:val="1A1E0B74"/>
    <w:rsid w:val="1AB62450"/>
    <w:rsid w:val="1B2174DB"/>
    <w:rsid w:val="1C1C2F7F"/>
    <w:rsid w:val="1C7B7638"/>
    <w:rsid w:val="1CD020B9"/>
    <w:rsid w:val="20E37A2F"/>
    <w:rsid w:val="22B87A98"/>
    <w:rsid w:val="22FD3369"/>
    <w:rsid w:val="231A04BF"/>
    <w:rsid w:val="235F7B65"/>
    <w:rsid w:val="24D04AD8"/>
    <w:rsid w:val="25042DE5"/>
    <w:rsid w:val="267F4329"/>
    <w:rsid w:val="268275D2"/>
    <w:rsid w:val="26917C27"/>
    <w:rsid w:val="26D921ED"/>
    <w:rsid w:val="272158EE"/>
    <w:rsid w:val="281D424A"/>
    <w:rsid w:val="29DE549F"/>
    <w:rsid w:val="2B966A02"/>
    <w:rsid w:val="2C7503C4"/>
    <w:rsid w:val="2C830D8A"/>
    <w:rsid w:val="2D227B7F"/>
    <w:rsid w:val="2E1B7D22"/>
    <w:rsid w:val="2F3C2834"/>
    <w:rsid w:val="2F9D62D1"/>
    <w:rsid w:val="30B611AD"/>
    <w:rsid w:val="30CC1324"/>
    <w:rsid w:val="30F02A95"/>
    <w:rsid w:val="33444CF5"/>
    <w:rsid w:val="336D30CC"/>
    <w:rsid w:val="34972042"/>
    <w:rsid w:val="35017ACF"/>
    <w:rsid w:val="35AE29D9"/>
    <w:rsid w:val="362A1B3F"/>
    <w:rsid w:val="36E47A47"/>
    <w:rsid w:val="38E834A3"/>
    <w:rsid w:val="3A580A2F"/>
    <w:rsid w:val="3A9C68D9"/>
    <w:rsid w:val="3AB6710E"/>
    <w:rsid w:val="3AC14FA9"/>
    <w:rsid w:val="3AD20B64"/>
    <w:rsid w:val="3B424B32"/>
    <w:rsid w:val="3BB11C45"/>
    <w:rsid w:val="3EBA4F39"/>
    <w:rsid w:val="3FD667EE"/>
    <w:rsid w:val="403A22C7"/>
    <w:rsid w:val="40CF1CAF"/>
    <w:rsid w:val="43683CED"/>
    <w:rsid w:val="439E0417"/>
    <w:rsid w:val="43B55825"/>
    <w:rsid w:val="44B00636"/>
    <w:rsid w:val="45072062"/>
    <w:rsid w:val="45C61256"/>
    <w:rsid w:val="46C14E1A"/>
    <w:rsid w:val="471B682F"/>
    <w:rsid w:val="475646A7"/>
    <w:rsid w:val="4BFA60B4"/>
    <w:rsid w:val="4C3F54DE"/>
    <w:rsid w:val="4C4F7B0F"/>
    <w:rsid w:val="4CA842AA"/>
    <w:rsid w:val="4D935204"/>
    <w:rsid w:val="4F8152C5"/>
    <w:rsid w:val="50123FDB"/>
    <w:rsid w:val="50571490"/>
    <w:rsid w:val="50E96D20"/>
    <w:rsid w:val="51B27BE8"/>
    <w:rsid w:val="51F74155"/>
    <w:rsid w:val="52D14869"/>
    <w:rsid w:val="539A2814"/>
    <w:rsid w:val="54020BF4"/>
    <w:rsid w:val="55221862"/>
    <w:rsid w:val="57E33B92"/>
    <w:rsid w:val="59587B95"/>
    <w:rsid w:val="5AA03BFF"/>
    <w:rsid w:val="5B724B3C"/>
    <w:rsid w:val="5BB23FC9"/>
    <w:rsid w:val="5C837DED"/>
    <w:rsid w:val="5F723BAC"/>
    <w:rsid w:val="5F820652"/>
    <w:rsid w:val="5FD96557"/>
    <w:rsid w:val="6105426E"/>
    <w:rsid w:val="66AF1BA1"/>
    <w:rsid w:val="682C0C2D"/>
    <w:rsid w:val="6CB92E1F"/>
    <w:rsid w:val="70231CA2"/>
    <w:rsid w:val="71D31036"/>
    <w:rsid w:val="72E35108"/>
    <w:rsid w:val="744E1161"/>
    <w:rsid w:val="74E01AA0"/>
    <w:rsid w:val="75D90BA2"/>
    <w:rsid w:val="76166944"/>
    <w:rsid w:val="793C22F7"/>
    <w:rsid w:val="795B009D"/>
    <w:rsid w:val="799014A9"/>
    <w:rsid w:val="7A115CAD"/>
    <w:rsid w:val="7A534871"/>
    <w:rsid w:val="7B3A0F8F"/>
    <w:rsid w:val="7C221355"/>
    <w:rsid w:val="7CD92277"/>
    <w:rsid w:val="7CDD72CA"/>
    <w:rsid w:val="7D06606B"/>
    <w:rsid w:val="7EAA58D5"/>
    <w:rsid w:val="7F013081"/>
    <w:rsid w:val="7F685558"/>
    <w:rsid w:val="7F866907"/>
    <w:rsid w:val="7F932F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fontstyle01"/>
    <w:basedOn w:val="9"/>
    <w:qFormat/>
    <w:uiPriority w:val="0"/>
    <w:rPr>
      <w:rFonts w:hint="eastAsia" w:ascii="宋体" w:hAnsi="宋体" w:eastAsia="宋体"/>
      <w:color w:val="000000"/>
      <w:sz w:val="20"/>
      <w:szCs w:val="20"/>
    </w:rPr>
  </w:style>
  <w:style w:type="character" w:customStyle="1" w:styleId="16">
    <w:name w:val="fontstyle11"/>
    <w:basedOn w:val="9"/>
    <w:qFormat/>
    <w:uiPriority w:val="0"/>
    <w:rPr>
      <w:rFonts w:hint="default" w:ascii="DY272+ZMEImn-273" w:hAnsi="DY272+ZMEImn-273"/>
      <w:color w:val="000000"/>
      <w:sz w:val="20"/>
      <w:szCs w:val="20"/>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85938-6D8B-43A8-B64E-82D2FA349C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217</Words>
  <Characters>1237</Characters>
  <Lines>10</Lines>
  <Paragraphs>2</Paragraphs>
  <TotalTime>66</TotalTime>
  <ScaleCrop>false</ScaleCrop>
  <LinksUpToDate>false</LinksUpToDate>
  <CharactersWithSpaces>1452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2021-12-14T00:35:00Z</dcterms:created>
  <dc:creator>admin</dc:creator>
  <cp:lastModifiedBy>Dandan</cp:lastModifiedBy>
  <cp:lastPrinted>2021-12-27T12:24:00Z</cp:lastPrinted>
  <dcterms:modified xsi:type="dcterms:W3CDTF">2022-01-03T08:41:47Z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58936E26DA2546749865E624F6A0F8A2</vt:lpwstr>
  </property>
</Properties>
</file>