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156" w:beforeLines="50" w:after="312" w:afterLines="100"/>
        <w:jc w:val="center"/>
        <w:rPr>
          <w:rFonts w:ascii="方正小标宋_GBK" w:eastAsia="方正小标宋_GBK"/>
          <w:b/>
          <w:bCs/>
          <w:sz w:val="36"/>
          <w:szCs w:val="36"/>
        </w:rPr>
      </w:pPr>
      <w:r>
        <w:rPr>
          <w:rFonts w:hint="eastAsia" w:ascii="方正小标宋_GBK" w:eastAsia="方正小标宋_GBK"/>
          <w:b/>
          <w:bCs/>
          <w:sz w:val="36"/>
          <w:szCs w:val="36"/>
        </w:rPr>
        <w:t>数媒辅修专业培养计划</w:t>
      </w:r>
    </w:p>
    <w:p>
      <w:pPr>
        <w:spacing w:before="156" w:beforeLines="50" w:after="156" w:afterLines="50" w:line="300" w:lineRule="auto"/>
        <w:rPr>
          <w:rFonts w:hint="eastAsia" w:ascii="黑体" w:hAnsi="宋体" w:eastAsia="黑体"/>
          <w:b/>
          <w:bCs/>
          <w:szCs w:val="21"/>
        </w:rPr>
      </w:pPr>
      <w:r>
        <w:rPr>
          <w:rFonts w:hint="eastAsia" w:ascii="黑体" w:hAnsi="宋体" w:eastAsia="黑体"/>
          <w:b/>
          <w:bCs/>
          <w:szCs w:val="21"/>
        </w:rPr>
        <w:t>一、培养目标</w:t>
      </w:r>
    </w:p>
    <w:p>
      <w:pPr>
        <w:spacing w:before="156" w:beforeLines="50" w:after="156" w:afterLines="50" w:line="300" w:lineRule="auto"/>
        <w:rPr>
          <w:rFonts w:hint="eastAsia" w:ascii="宋体" w:hAnsi="宋体"/>
          <w:szCs w:val="21"/>
        </w:rPr>
      </w:pPr>
      <w:r>
        <w:rPr>
          <w:rFonts w:hint="eastAsia" w:ascii="宋体" w:hAnsi="宋体"/>
          <w:szCs w:val="21"/>
        </w:rPr>
        <w:tab/>
      </w:r>
      <w:r>
        <w:rPr>
          <w:rFonts w:hint="eastAsia" w:ascii="宋体" w:hAnsi="宋体"/>
          <w:szCs w:val="21"/>
        </w:rPr>
        <w:t>旨在培养适应现代化建设需要，具有实际操作能力和创新精神的现代数字媒体艺术高级复合型应用人才。</w:t>
      </w:r>
    </w:p>
    <w:p>
      <w:pPr>
        <w:spacing w:before="156" w:beforeLines="50" w:after="156" w:afterLines="50" w:line="300" w:lineRule="auto"/>
        <w:rPr>
          <w:rFonts w:hint="eastAsia" w:ascii="黑体" w:hAnsi="宋体" w:eastAsia="黑体"/>
          <w:b/>
          <w:bCs/>
          <w:szCs w:val="21"/>
        </w:rPr>
      </w:pPr>
      <w:r>
        <w:rPr>
          <w:rFonts w:hint="eastAsia" w:ascii="黑体" w:hAnsi="宋体" w:eastAsia="黑体"/>
          <w:b/>
          <w:bCs/>
          <w:szCs w:val="21"/>
        </w:rPr>
        <w:t>二、培养基本要求</w:t>
      </w:r>
    </w:p>
    <w:p>
      <w:pPr>
        <w:widowControl/>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本专业学生以“融合地域、服务地方、鼓励创新”为基本目标，运用数字媒体艺术设计结合计算机辅助设计等技术，培养学生全面深入掌握专业知识，创新思维和社交能力。</w:t>
      </w:r>
    </w:p>
    <w:p>
      <w:pPr>
        <w:spacing w:after="120" w:line="360" w:lineRule="exact"/>
        <w:ind w:left="420" w:leftChars="200" w:firstLine="413" w:firstLineChars="196"/>
        <w:jc w:val="center"/>
        <w:rPr>
          <w:rFonts w:hint="eastAsia" w:ascii="宋体" w:hAnsi="宋体"/>
          <w:b/>
          <w:bCs/>
        </w:rPr>
      </w:pPr>
      <w:r>
        <w:rPr>
          <w:rFonts w:hint="eastAsia" w:ascii="宋体" w:hAnsi="宋体"/>
          <w:b/>
          <w:bCs/>
        </w:rPr>
        <w:t>表1：素质结构及培养途径分解表</w:t>
      </w:r>
    </w:p>
    <w:tbl>
      <w:tblPr>
        <w:tblStyle w:val="8"/>
        <w:tblW w:w="9288"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84"/>
        <w:gridCol w:w="790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15" w:hRule="atLeast"/>
        </w:trPr>
        <w:tc>
          <w:tcPr>
            <w:tcW w:w="1384" w:type="dxa"/>
            <w:vAlign w:val="center"/>
          </w:tcPr>
          <w:p>
            <w:pPr>
              <w:jc w:val="center"/>
              <w:rPr>
                <w:b/>
                <w:sz w:val="18"/>
                <w:szCs w:val="18"/>
              </w:rPr>
            </w:pPr>
            <w:r>
              <w:rPr>
                <w:b/>
                <w:sz w:val="18"/>
                <w:szCs w:val="18"/>
              </w:rPr>
              <w:t>素质名称</w:t>
            </w:r>
          </w:p>
        </w:tc>
        <w:tc>
          <w:tcPr>
            <w:tcW w:w="7904" w:type="dxa"/>
            <w:vAlign w:val="center"/>
          </w:tcPr>
          <w:p>
            <w:pPr>
              <w:jc w:val="center"/>
              <w:rPr>
                <w:b/>
                <w:sz w:val="18"/>
                <w:szCs w:val="18"/>
              </w:rPr>
            </w:pPr>
            <w:r>
              <w:rPr>
                <w:b/>
                <w:sz w:val="18"/>
                <w:szCs w:val="18"/>
              </w:rPr>
              <w:t>培养途径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4" w:hRule="atLeast"/>
        </w:trPr>
        <w:tc>
          <w:tcPr>
            <w:tcW w:w="1384" w:type="dxa"/>
            <w:vAlign w:val="center"/>
          </w:tcPr>
          <w:p>
            <w:pPr>
              <w:jc w:val="center"/>
              <w:rPr>
                <w:sz w:val="18"/>
                <w:szCs w:val="18"/>
              </w:rPr>
            </w:pPr>
            <w:r>
              <w:rPr>
                <w:sz w:val="18"/>
                <w:szCs w:val="18"/>
              </w:rPr>
              <w:t>政治素质</w:t>
            </w:r>
          </w:p>
        </w:tc>
        <w:tc>
          <w:tcPr>
            <w:tcW w:w="7904" w:type="dxa"/>
          </w:tcPr>
          <w:p>
            <w:pPr>
              <w:rPr>
                <w:sz w:val="18"/>
                <w:szCs w:val="18"/>
              </w:rPr>
            </w:pPr>
            <w:r>
              <w:rPr>
                <w:sz w:val="18"/>
                <w:szCs w:val="18"/>
              </w:rPr>
              <w:t>通过开设《</w:t>
            </w:r>
            <w:r>
              <w:rPr>
                <w:bCs/>
                <w:sz w:val="18"/>
                <w:szCs w:val="18"/>
              </w:rPr>
              <w:t>毛泽东思想和中国特色社会主义理论体系概论</w:t>
            </w:r>
            <w:r>
              <w:rPr>
                <w:sz w:val="18"/>
                <w:szCs w:val="18"/>
              </w:rPr>
              <w:t>》、《马克思主义基本原理》、《中国近现代史纲要》等政治修养类课程，开办业余党校等活动实现。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4" w:hRule="atLeast"/>
        </w:trPr>
        <w:tc>
          <w:tcPr>
            <w:tcW w:w="1384" w:type="dxa"/>
            <w:vAlign w:val="center"/>
          </w:tcPr>
          <w:p>
            <w:pPr>
              <w:jc w:val="center"/>
              <w:rPr>
                <w:sz w:val="18"/>
                <w:szCs w:val="18"/>
              </w:rPr>
            </w:pPr>
            <w:r>
              <w:rPr>
                <w:sz w:val="18"/>
                <w:szCs w:val="18"/>
              </w:rPr>
              <w:t>道德素质</w:t>
            </w:r>
          </w:p>
        </w:tc>
        <w:tc>
          <w:tcPr>
            <w:tcW w:w="7904" w:type="dxa"/>
          </w:tcPr>
          <w:p>
            <w:pPr>
              <w:rPr>
                <w:sz w:val="18"/>
                <w:szCs w:val="18"/>
              </w:rPr>
            </w:pPr>
            <w:r>
              <w:rPr>
                <w:sz w:val="18"/>
                <w:szCs w:val="18"/>
              </w:rPr>
              <w:t>通过开设《思想道德修养与法律基础》、《专业导论》、《就业指导》等道德修养类课程，开展劳动、校园文化等活动实现。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1248" w:hRule="atLeast"/>
        </w:trPr>
        <w:tc>
          <w:tcPr>
            <w:tcW w:w="1384" w:type="dxa"/>
            <w:vAlign w:val="center"/>
          </w:tcPr>
          <w:p>
            <w:pPr>
              <w:jc w:val="center"/>
              <w:rPr>
                <w:sz w:val="18"/>
                <w:szCs w:val="18"/>
              </w:rPr>
            </w:pPr>
            <w:r>
              <w:rPr>
                <w:sz w:val="18"/>
                <w:szCs w:val="18"/>
              </w:rPr>
              <w:t>业务素质</w:t>
            </w:r>
          </w:p>
        </w:tc>
        <w:tc>
          <w:tcPr>
            <w:tcW w:w="7904" w:type="dxa"/>
            <w:vAlign w:val="center"/>
          </w:tcPr>
          <w:p>
            <w:pPr>
              <w:rPr>
                <w:rFonts w:hint="eastAsia"/>
                <w:sz w:val="18"/>
                <w:szCs w:val="18"/>
              </w:rPr>
            </w:pPr>
            <w:r>
              <w:rPr>
                <w:rFonts w:hint="eastAsia"/>
                <w:sz w:val="18"/>
                <w:szCs w:val="18"/>
              </w:rPr>
              <w:t>1、掌握数字媒体艺术的基本理论和基本知识，了解中外数字媒体艺术设计史的发展规律和国内外数字媒体艺术设计的动态，最新成就；</w:t>
            </w:r>
          </w:p>
          <w:p>
            <w:pPr>
              <w:rPr>
                <w:rFonts w:hint="eastAsia"/>
                <w:sz w:val="18"/>
                <w:szCs w:val="18"/>
              </w:rPr>
            </w:pPr>
            <w:r>
              <w:rPr>
                <w:rFonts w:hint="eastAsia"/>
                <w:sz w:val="18"/>
                <w:szCs w:val="18"/>
              </w:rPr>
              <w:t>2、掌握设计心理学和现代美学以及本专业相关的艺术、计算机技术等方面的基础知识；</w:t>
            </w:r>
          </w:p>
          <w:p>
            <w:pPr>
              <w:rPr>
                <w:rFonts w:hint="eastAsia"/>
                <w:sz w:val="18"/>
                <w:szCs w:val="18"/>
              </w:rPr>
            </w:pPr>
            <w:r>
              <w:rPr>
                <w:rFonts w:hint="eastAsia"/>
                <w:sz w:val="18"/>
                <w:szCs w:val="18"/>
              </w:rPr>
              <w:t>3、掌握数字媒体艺术设计创作的专业技能和方法,具有独立进行数字媒体艺术设计实践和表达设计意图的能力；</w:t>
            </w:r>
          </w:p>
          <w:p>
            <w:pPr>
              <w:rPr>
                <w:rFonts w:hint="eastAsia"/>
                <w:sz w:val="18"/>
                <w:szCs w:val="18"/>
              </w:rPr>
            </w:pPr>
            <w:r>
              <w:rPr>
                <w:rFonts w:hint="eastAsia"/>
                <w:sz w:val="18"/>
                <w:szCs w:val="18"/>
              </w:rPr>
              <w:t xml:space="preserve">能够基础运用相关软件制作数字媒体艺术作品，具备初步交互设计、等软件制作的能力； </w:t>
            </w:r>
          </w:p>
          <w:p>
            <w:pPr>
              <w:rPr>
                <w:rFonts w:hint="eastAsia"/>
                <w:sz w:val="18"/>
                <w:szCs w:val="18"/>
              </w:rPr>
            </w:pPr>
            <w:r>
              <w:rPr>
                <w:rFonts w:hint="eastAsia"/>
                <w:sz w:val="18"/>
                <w:szCs w:val="18"/>
              </w:rPr>
              <w:t>4、了解有关经济、文化、数字媒体艺术事业的方针、政策和法规；</w:t>
            </w:r>
          </w:p>
          <w:p>
            <w:pPr>
              <w:rPr>
                <w:rFonts w:hint="eastAsia"/>
                <w:sz w:val="18"/>
                <w:szCs w:val="18"/>
              </w:rPr>
            </w:pPr>
            <w:r>
              <w:rPr>
                <w:rFonts w:hint="eastAsia"/>
                <w:sz w:val="18"/>
                <w:szCs w:val="18"/>
              </w:rPr>
              <w:t>5、具有阅读和翻译本专业外文资料的初步能力以及计算机辅助设计方面的技能，能通过大学英语三级水平考试和浙江省计算机等级考试；</w:t>
            </w:r>
          </w:p>
          <w:p>
            <w:pPr>
              <w:rPr>
                <w:sz w:val="18"/>
                <w:szCs w:val="18"/>
              </w:rPr>
            </w:pPr>
            <w:r>
              <w:rPr>
                <w:rFonts w:hint="eastAsia"/>
                <w:sz w:val="18"/>
                <w:szCs w:val="18"/>
              </w:rPr>
              <w:t>6、具有较高的数字媒体艺术修养，较强的设计、实施方案能力和初步科研能力。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9" w:hRule="atLeast"/>
        </w:trPr>
        <w:tc>
          <w:tcPr>
            <w:tcW w:w="1384" w:type="dxa"/>
            <w:vAlign w:val="center"/>
          </w:tcPr>
          <w:p>
            <w:pPr>
              <w:jc w:val="center"/>
              <w:rPr>
                <w:sz w:val="18"/>
                <w:szCs w:val="18"/>
              </w:rPr>
            </w:pPr>
            <w:r>
              <w:rPr>
                <w:sz w:val="18"/>
                <w:szCs w:val="18"/>
              </w:rPr>
              <w:t>身心素质</w:t>
            </w:r>
          </w:p>
        </w:tc>
        <w:tc>
          <w:tcPr>
            <w:tcW w:w="7904" w:type="dxa"/>
          </w:tcPr>
          <w:p>
            <w:pPr>
              <w:rPr>
                <w:sz w:val="18"/>
                <w:szCs w:val="18"/>
              </w:rPr>
            </w:pPr>
            <w:r>
              <w:rPr>
                <w:sz w:val="18"/>
                <w:szCs w:val="18"/>
              </w:rPr>
              <w:t>通过开设《心理健康教育》、《体育》等身心修养类课程，通过军训、各类体育运动及其它校园活动实现。</w:t>
            </w:r>
          </w:p>
        </w:tc>
      </w:tr>
    </w:tbl>
    <w:p>
      <w:pPr>
        <w:spacing w:after="120" w:line="360" w:lineRule="exact"/>
        <w:ind w:left="420" w:leftChars="200" w:firstLine="354" w:firstLineChars="196"/>
        <w:jc w:val="center"/>
        <w:rPr>
          <w:rFonts w:hint="eastAsia"/>
          <w:b/>
          <w:bCs/>
          <w:sz w:val="18"/>
          <w:szCs w:val="18"/>
        </w:rPr>
      </w:pPr>
    </w:p>
    <w:p>
      <w:pPr>
        <w:spacing w:after="120" w:line="360" w:lineRule="exact"/>
        <w:ind w:left="420" w:leftChars="200" w:firstLine="413" w:firstLineChars="196"/>
        <w:jc w:val="center"/>
        <w:rPr>
          <w:rFonts w:ascii="宋体" w:hAnsi="宋体"/>
          <w:b/>
          <w:bCs/>
        </w:rPr>
      </w:pPr>
      <w:r>
        <w:rPr>
          <w:rFonts w:ascii="宋体" w:hAnsi="宋体"/>
          <w:b/>
          <w:bCs/>
        </w:rPr>
        <w:t>表</w:t>
      </w:r>
      <w:r>
        <w:rPr>
          <w:rFonts w:hint="eastAsia" w:ascii="宋体" w:hAnsi="宋体"/>
          <w:b/>
          <w:bCs/>
        </w:rPr>
        <w:t>2</w:t>
      </w:r>
      <w:r>
        <w:rPr>
          <w:rFonts w:ascii="宋体" w:hAnsi="宋体"/>
          <w:b/>
          <w:bCs/>
        </w:rPr>
        <w:t>：能力结构及培养途径分解表</w:t>
      </w:r>
    </w:p>
    <w:tbl>
      <w:tblPr>
        <w:tblStyle w:val="8"/>
        <w:tblW w:w="9288"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68"/>
        <w:gridCol w:w="354"/>
        <w:gridCol w:w="1245"/>
        <w:gridCol w:w="73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96" w:hRule="atLeast"/>
        </w:trPr>
        <w:tc>
          <w:tcPr>
            <w:tcW w:w="1967" w:type="dxa"/>
            <w:gridSpan w:val="3"/>
            <w:vAlign w:val="center"/>
          </w:tcPr>
          <w:p>
            <w:pPr>
              <w:jc w:val="center"/>
              <w:rPr>
                <w:b/>
                <w:sz w:val="18"/>
                <w:szCs w:val="18"/>
              </w:rPr>
            </w:pPr>
            <w:bookmarkStart w:id="0" w:name="_GoBack"/>
            <w:r>
              <w:rPr>
                <w:b/>
                <w:sz w:val="18"/>
                <w:szCs w:val="18"/>
              </w:rPr>
              <w:t>能力名称</w:t>
            </w:r>
          </w:p>
        </w:tc>
        <w:tc>
          <w:tcPr>
            <w:tcW w:w="7321" w:type="dxa"/>
            <w:vAlign w:val="center"/>
          </w:tcPr>
          <w:p>
            <w:pPr>
              <w:jc w:val="center"/>
              <w:rPr>
                <w:b/>
                <w:sz w:val="18"/>
                <w:szCs w:val="18"/>
              </w:rPr>
            </w:pPr>
            <w:r>
              <w:rPr>
                <w:b/>
                <w:sz w:val="18"/>
                <w:szCs w:val="18"/>
              </w:rPr>
              <w:t>培养途径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restart"/>
            <w:vAlign w:val="center"/>
          </w:tcPr>
          <w:p>
            <w:pPr>
              <w:jc w:val="center"/>
              <w:rPr>
                <w:sz w:val="18"/>
                <w:szCs w:val="18"/>
              </w:rPr>
            </w:pPr>
            <w:r>
              <w:rPr>
                <w:sz w:val="18"/>
                <w:szCs w:val="18"/>
              </w:rPr>
              <w:t>基本</w:t>
            </w:r>
          </w:p>
          <w:p>
            <w:pPr>
              <w:jc w:val="center"/>
              <w:rPr>
                <w:sz w:val="18"/>
                <w:szCs w:val="18"/>
              </w:rPr>
            </w:pPr>
            <w:r>
              <w:rPr>
                <w:sz w:val="18"/>
                <w:szCs w:val="18"/>
              </w:rPr>
              <w:t>能力</w:t>
            </w:r>
          </w:p>
        </w:tc>
        <w:tc>
          <w:tcPr>
            <w:tcW w:w="1599" w:type="dxa"/>
            <w:gridSpan w:val="2"/>
            <w:vAlign w:val="center"/>
          </w:tcPr>
          <w:p>
            <w:pPr>
              <w:jc w:val="center"/>
              <w:rPr>
                <w:sz w:val="18"/>
                <w:szCs w:val="18"/>
              </w:rPr>
            </w:pPr>
            <w:r>
              <w:rPr>
                <w:sz w:val="18"/>
                <w:szCs w:val="18"/>
              </w:rPr>
              <w:t>学习能力</w:t>
            </w:r>
          </w:p>
        </w:tc>
        <w:tc>
          <w:tcPr>
            <w:tcW w:w="7321" w:type="dxa"/>
          </w:tcPr>
          <w:p>
            <w:pPr>
              <w:rPr>
                <w:sz w:val="18"/>
                <w:szCs w:val="18"/>
              </w:rPr>
            </w:pPr>
            <w:r>
              <w:rPr>
                <w:rFonts w:hint="eastAsia"/>
                <w:sz w:val="18"/>
                <w:szCs w:val="18"/>
              </w:rPr>
              <w:t>通过入学专业思想教育，使学生掌握环境设计专业学习特点和方法，明确学习目的</w:t>
            </w:r>
            <w:r>
              <w:rPr>
                <w:sz w:val="18"/>
                <w:szCs w:val="18"/>
              </w:rPr>
              <w:t>;</w:t>
            </w:r>
            <w:r>
              <w:rPr>
                <w:rFonts w:hint="eastAsia"/>
                <w:sz w:val="18"/>
                <w:szCs w:val="18"/>
              </w:rPr>
              <w:t>通过课内外教学实践，培养学生合作学习能力；通过学科平台，培养学生自主学习能力；通过开设信息类课程，培养学生运用互联网的学习能力。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1599" w:type="dxa"/>
            <w:gridSpan w:val="2"/>
            <w:vAlign w:val="center"/>
          </w:tcPr>
          <w:p>
            <w:pPr>
              <w:jc w:val="center"/>
              <w:rPr>
                <w:sz w:val="18"/>
                <w:szCs w:val="18"/>
              </w:rPr>
            </w:pPr>
            <w:r>
              <w:rPr>
                <w:sz w:val="18"/>
                <w:szCs w:val="18"/>
              </w:rPr>
              <w:t>交流协作能力</w:t>
            </w:r>
          </w:p>
        </w:tc>
        <w:tc>
          <w:tcPr>
            <w:tcW w:w="7321" w:type="dxa"/>
          </w:tcPr>
          <w:p>
            <w:pPr>
              <w:rPr>
                <w:sz w:val="18"/>
                <w:szCs w:val="18"/>
              </w:rPr>
            </w:pPr>
            <w:r>
              <w:rPr>
                <w:rFonts w:hint="eastAsia"/>
                <w:sz w:val="18"/>
                <w:szCs w:val="18"/>
              </w:rPr>
              <w:t>通过开设《毕业实习》课程，让学生积极参加实习、社会实践、军训、校园文化和第二课堂等活动，从而培养其交流协作能力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1599" w:type="dxa"/>
            <w:gridSpan w:val="2"/>
            <w:vAlign w:val="center"/>
          </w:tcPr>
          <w:p>
            <w:pPr>
              <w:jc w:val="center"/>
              <w:rPr>
                <w:sz w:val="18"/>
                <w:szCs w:val="18"/>
              </w:rPr>
            </w:pPr>
            <w:r>
              <w:rPr>
                <w:sz w:val="18"/>
                <w:szCs w:val="18"/>
              </w:rPr>
              <w:t>思辨能力</w:t>
            </w:r>
          </w:p>
        </w:tc>
        <w:tc>
          <w:tcPr>
            <w:tcW w:w="7321" w:type="dxa"/>
          </w:tcPr>
          <w:p>
            <w:pPr>
              <w:rPr>
                <w:sz w:val="18"/>
                <w:szCs w:val="18"/>
              </w:rPr>
            </w:pPr>
            <w:r>
              <w:rPr>
                <w:sz w:val="18"/>
                <w:szCs w:val="18"/>
              </w:rPr>
              <w:t>通过开设</w:t>
            </w:r>
            <w:r>
              <w:rPr>
                <w:rFonts w:hint="eastAsia"/>
                <w:sz w:val="18"/>
                <w:szCs w:val="18"/>
              </w:rPr>
              <w:t>工作室模块课程、《专题设计》</w:t>
            </w:r>
            <w:r>
              <w:rPr>
                <w:sz w:val="18"/>
                <w:szCs w:val="18"/>
              </w:rPr>
              <w:t>等课程以及组织开展辩论比赛等课内外教学活动实现。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1599" w:type="dxa"/>
            <w:gridSpan w:val="2"/>
            <w:vAlign w:val="center"/>
          </w:tcPr>
          <w:p>
            <w:pPr>
              <w:jc w:val="center"/>
              <w:rPr>
                <w:sz w:val="18"/>
                <w:szCs w:val="18"/>
              </w:rPr>
            </w:pPr>
            <w:r>
              <w:rPr>
                <w:sz w:val="18"/>
                <w:szCs w:val="18"/>
              </w:rPr>
              <w:t>基本创新能力</w:t>
            </w:r>
          </w:p>
        </w:tc>
        <w:tc>
          <w:tcPr>
            <w:tcW w:w="7321" w:type="dxa"/>
          </w:tcPr>
          <w:p>
            <w:pPr>
              <w:rPr>
                <w:color w:val="000000"/>
                <w:sz w:val="18"/>
                <w:szCs w:val="18"/>
              </w:rPr>
            </w:pPr>
            <w:r>
              <w:rPr>
                <w:color w:val="000000"/>
                <w:sz w:val="18"/>
                <w:szCs w:val="18"/>
              </w:rPr>
              <w:t>通过开设</w:t>
            </w:r>
            <w:r>
              <w:rPr>
                <w:rFonts w:hint="eastAsia"/>
                <w:color w:val="000000"/>
                <w:sz w:val="18"/>
                <w:szCs w:val="18"/>
              </w:rPr>
              <w:t>《互联网内容设计》、《空间设计》</w:t>
            </w:r>
            <w:r>
              <w:rPr>
                <w:color w:val="000000"/>
                <w:sz w:val="18"/>
                <w:szCs w:val="18"/>
              </w:rPr>
              <w:t>等课程，</w:t>
            </w:r>
            <w:r>
              <w:rPr>
                <w:rFonts w:hint="eastAsia"/>
                <w:color w:val="000000"/>
                <w:sz w:val="18"/>
                <w:szCs w:val="18"/>
              </w:rPr>
              <w:t>举办学术讲座或研讨活动，</w:t>
            </w:r>
            <w:r>
              <w:rPr>
                <w:color w:val="000000"/>
                <w:sz w:val="18"/>
                <w:szCs w:val="18"/>
              </w:rPr>
              <w:t>开展学生科技竞赛</w:t>
            </w:r>
            <w:r>
              <w:rPr>
                <w:rFonts w:hint="eastAsia"/>
                <w:color w:val="000000"/>
                <w:sz w:val="18"/>
                <w:szCs w:val="18"/>
              </w:rPr>
              <w:t>，开展师生科研结对等活动，同时通过让学生撰写学期论文和毕业论文，培养学生的创新意识与创新能力。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877" w:hRule="atLeast"/>
        </w:trPr>
        <w:tc>
          <w:tcPr>
            <w:tcW w:w="368" w:type="dxa"/>
            <w:vMerge w:val="restart"/>
            <w:vAlign w:val="center"/>
          </w:tcPr>
          <w:p>
            <w:pPr>
              <w:jc w:val="center"/>
              <w:rPr>
                <w:sz w:val="18"/>
                <w:szCs w:val="18"/>
              </w:rPr>
            </w:pPr>
            <w:r>
              <w:rPr>
                <w:sz w:val="18"/>
                <w:szCs w:val="18"/>
              </w:rPr>
              <w:t>专业能力</w:t>
            </w:r>
          </w:p>
        </w:tc>
        <w:tc>
          <w:tcPr>
            <w:tcW w:w="354" w:type="dxa"/>
            <w:vMerge w:val="restart"/>
            <w:vAlign w:val="center"/>
          </w:tcPr>
          <w:p>
            <w:pPr>
              <w:jc w:val="center"/>
              <w:rPr>
                <w:sz w:val="18"/>
                <w:szCs w:val="18"/>
              </w:rPr>
            </w:pPr>
            <w:r>
              <w:rPr>
                <w:sz w:val="18"/>
                <w:szCs w:val="18"/>
              </w:rPr>
              <w:t>核</w:t>
            </w:r>
          </w:p>
          <w:p>
            <w:pPr>
              <w:jc w:val="center"/>
              <w:rPr>
                <w:sz w:val="18"/>
                <w:szCs w:val="18"/>
              </w:rPr>
            </w:pPr>
            <w:r>
              <w:rPr>
                <w:sz w:val="18"/>
                <w:szCs w:val="18"/>
              </w:rPr>
              <w:t>心能力</w:t>
            </w:r>
          </w:p>
        </w:tc>
        <w:tc>
          <w:tcPr>
            <w:tcW w:w="1245" w:type="dxa"/>
            <w:vAlign w:val="center"/>
          </w:tcPr>
          <w:p>
            <w:pPr>
              <w:jc w:val="center"/>
              <w:rPr>
                <w:rFonts w:hint="eastAsia"/>
                <w:sz w:val="18"/>
                <w:szCs w:val="18"/>
              </w:rPr>
            </w:pPr>
            <w:r>
              <w:rPr>
                <w:rFonts w:hint="eastAsia"/>
                <w:sz w:val="18"/>
                <w:szCs w:val="18"/>
              </w:rPr>
              <w:t>审美能力</w:t>
            </w:r>
          </w:p>
        </w:tc>
        <w:tc>
          <w:tcPr>
            <w:tcW w:w="7321" w:type="dxa"/>
          </w:tcPr>
          <w:p>
            <w:pPr>
              <w:rPr>
                <w:color w:val="000000"/>
                <w:sz w:val="18"/>
                <w:szCs w:val="18"/>
              </w:rPr>
            </w:pPr>
            <w:r>
              <w:rPr>
                <w:rFonts w:hint="eastAsia"/>
                <w:color w:val="000000"/>
                <w:sz w:val="18"/>
                <w:szCs w:val="18"/>
              </w:rPr>
              <w:t>了解中外艺术设计历史的发展及理论；具备艺术专业的基本美术造型能力和较扎实的美学基础</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877" w:hRule="atLeast"/>
        </w:trPr>
        <w:tc>
          <w:tcPr>
            <w:tcW w:w="368" w:type="dxa"/>
            <w:vMerge w:val="continue"/>
            <w:vAlign w:val="center"/>
          </w:tcPr>
          <w:p>
            <w:pPr>
              <w:widowControl/>
              <w:jc w:val="left"/>
              <w:rPr>
                <w:sz w:val="18"/>
                <w:szCs w:val="18"/>
              </w:rPr>
            </w:pPr>
          </w:p>
        </w:tc>
        <w:tc>
          <w:tcPr>
            <w:tcW w:w="354" w:type="dxa"/>
            <w:vMerge w:val="continue"/>
            <w:vAlign w:val="center"/>
          </w:tcPr>
          <w:p>
            <w:pPr>
              <w:widowControl/>
              <w:jc w:val="left"/>
              <w:rPr>
                <w:sz w:val="18"/>
                <w:szCs w:val="18"/>
              </w:rPr>
            </w:pPr>
          </w:p>
        </w:tc>
        <w:tc>
          <w:tcPr>
            <w:tcW w:w="1245" w:type="dxa"/>
            <w:vAlign w:val="center"/>
          </w:tcPr>
          <w:p>
            <w:pPr>
              <w:jc w:val="center"/>
              <w:rPr>
                <w:rFonts w:hint="eastAsia"/>
                <w:sz w:val="18"/>
                <w:szCs w:val="18"/>
              </w:rPr>
            </w:pPr>
            <w:r>
              <w:rPr>
                <w:rFonts w:hint="eastAsia"/>
                <w:sz w:val="18"/>
                <w:szCs w:val="18"/>
              </w:rPr>
              <w:t>设计表达能力</w:t>
            </w:r>
          </w:p>
        </w:tc>
        <w:tc>
          <w:tcPr>
            <w:tcW w:w="7321" w:type="dxa"/>
          </w:tcPr>
          <w:p>
            <w:pPr>
              <w:rPr>
                <w:rFonts w:hint="eastAsia"/>
                <w:sz w:val="18"/>
                <w:szCs w:val="18"/>
              </w:rPr>
            </w:pPr>
            <w:r>
              <w:rPr>
                <w:rFonts w:hint="eastAsia"/>
                <w:sz w:val="18"/>
                <w:szCs w:val="18"/>
              </w:rPr>
              <w:t>加强计算机应用能力的培养，开展全面、实用的专业软件课程，通过系统的学习，使学生能初步掌握二维、三维、影视、交互设计、等软件制作的能力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354" w:type="dxa"/>
            <w:vMerge w:val="continue"/>
            <w:vAlign w:val="center"/>
          </w:tcPr>
          <w:p>
            <w:pPr>
              <w:jc w:val="center"/>
              <w:rPr>
                <w:sz w:val="18"/>
                <w:szCs w:val="18"/>
              </w:rPr>
            </w:pPr>
          </w:p>
        </w:tc>
        <w:tc>
          <w:tcPr>
            <w:tcW w:w="1245" w:type="dxa"/>
            <w:vAlign w:val="center"/>
          </w:tcPr>
          <w:p>
            <w:pPr>
              <w:jc w:val="center"/>
              <w:rPr>
                <w:sz w:val="18"/>
                <w:szCs w:val="18"/>
              </w:rPr>
            </w:pPr>
            <w:r>
              <w:rPr>
                <w:sz w:val="18"/>
                <w:szCs w:val="18"/>
              </w:rPr>
              <w:t>设计创新能力</w:t>
            </w:r>
          </w:p>
        </w:tc>
        <w:tc>
          <w:tcPr>
            <w:tcW w:w="7321" w:type="dxa"/>
          </w:tcPr>
          <w:p>
            <w:pPr>
              <w:rPr>
                <w:rFonts w:hint="eastAsia"/>
                <w:sz w:val="18"/>
                <w:szCs w:val="18"/>
              </w:rPr>
            </w:pPr>
            <w:r>
              <w:rPr>
                <w:rFonts w:hint="eastAsia"/>
                <w:sz w:val="18"/>
                <w:szCs w:val="18"/>
              </w:rPr>
              <w:t>设立专业教研室和学生创新工作室，促进学生与教师的联系，加强实践能力、创新精神、继续发展、终身学习的自学能力和独立工作能力的培养。</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354" w:type="dxa"/>
            <w:vMerge w:val="restart"/>
            <w:vAlign w:val="center"/>
          </w:tcPr>
          <w:p>
            <w:pPr>
              <w:jc w:val="center"/>
              <w:rPr>
                <w:sz w:val="18"/>
                <w:szCs w:val="18"/>
              </w:rPr>
            </w:pPr>
            <w:r>
              <w:rPr>
                <w:sz w:val="18"/>
                <w:szCs w:val="18"/>
              </w:rPr>
              <w:t>其</w:t>
            </w:r>
          </w:p>
          <w:p>
            <w:pPr>
              <w:jc w:val="center"/>
              <w:rPr>
                <w:sz w:val="18"/>
                <w:szCs w:val="18"/>
              </w:rPr>
            </w:pPr>
            <w:r>
              <w:rPr>
                <w:sz w:val="18"/>
                <w:szCs w:val="18"/>
              </w:rPr>
              <w:t>它能力</w:t>
            </w:r>
          </w:p>
        </w:tc>
        <w:tc>
          <w:tcPr>
            <w:tcW w:w="1245" w:type="dxa"/>
            <w:vAlign w:val="center"/>
          </w:tcPr>
          <w:p>
            <w:pPr>
              <w:jc w:val="center"/>
              <w:rPr>
                <w:rFonts w:hint="eastAsia"/>
                <w:sz w:val="18"/>
                <w:szCs w:val="18"/>
              </w:rPr>
            </w:pPr>
            <w:r>
              <w:rPr>
                <w:sz w:val="18"/>
                <w:szCs w:val="18"/>
              </w:rPr>
              <w:t>外语能力</w:t>
            </w:r>
          </w:p>
        </w:tc>
        <w:tc>
          <w:tcPr>
            <w:tcW w:w="7321" w:type="dxa"/>
          </w:tcPr>
          <w:p>
            <w:pPr>
              <w:rPr>
                <w:sz w:val="18"/>
                <w:szCs w:val="18"/>
              </w:rPr>
            </w:pPr>
            <w:r>
              <w:rPr>
                <w:rFonts w:hint="eastAsia"/>
                <w:sz w:val="18"/>
                <w:szCs w:val="18"/>
              </w:rPr>
              <w:t>掌握一门外语，具备阅读本专业的外文文献和翻译本专业外文资料能力，初步进行外语会话的能力。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354" w:type="dxa"/>
            <w:vMerge w:val="continue"/>
            <w:vAlign w:val="center"/>
          </w:tcPr>
          <w:p>
            <w:pPr>
              <w:widowControl/>
              <w:jc w:val="left"/>
              <w:rPr>
                <w:sz w:val="18"/>
                <w:szCs w:val="18"/>
              </w:rPr>
            </w:pPr>
          </w:p>
        </w:tc>
        <w:tc>
          <w:tcPr>
            <w:tcW w:w="1245" w:type="dxa"/>
            <w:vAlign w:val="center"/>
          </w:tcPr>
          <w:p>
            <w:pPr>
              <w:jc w:val="center"/>
              <w:rPr>
                <w:rFonts w:hint="eastAsia"/>
                <w:sz w:val="18"/>
                <w:szCs w:val="18"/>
              </w:rPr>
            </w:pPr>
            <w:r>
              <w:rPr>
                <w:rFonts w:hint="eastAsia"/>
                <w:sz w:val="18"/>
                <w:szCs w:val="18"/>
              </w:rPr>
              <w:t>应岗能力</w:t>
            </w:r>
          </w:p>
        </w:tc>
        <w:tc>
          <w:tcPr>
            <w:tcW w:w="7321" w:type="dxa"/>
          </w:tcPr>
          <w:p>
            <w:pPr>
              <w:rPr>
                <w:sz w:val="18"/>
                <w:szCs w:val="18"/>
              </w:rPr>
            </w:pPr>
            <w:r>
              <w:rPr>
                <w:sz w:val="18"/>
                <w:szCs w:val="18"/>
              </w:rPr>
              <w:t>通过考取职业资格证书等证书，拓宽就业渠道提高应岗能力</w:t>
            </w:r>
            <w:r>
              <w:rPr>
                <w:rFonts w:hint="eastAsia"/>
                <w:sz w:val="18"/>
                <w:szCs w:val="18"/>
              </w:rPr>
              <w:t>，了解产品开发项目的相关法律法规和行业规则，具备设计小组或团队组织、沟通、项目管理及推广的能力</w:t>
            </w:r>
            <w:r>
              <w:rPr>
                <w:sz w:val="18"/>
                <w:szCs w:val="18"/>
              </w:rPr>
              <w:t>。</w:t>
            </w:r>
          </w:p>
        </w:tc>
      </w:tr>
      <w:bookmarkEnd w:id="0"/>
    </w:tbl>
    <w:p>
      <w:pPr>
        <w:spacing w:before="156" w:beforeLines="50" w:after="156" w:afterLines="50" w:line="300" w:lineRule="auto"/>
        <w:rPr>
          <w:rFonts w:ascii="黑体" w:hAnsi="宋体" w:eastAsia="黑体"/>
          <w:b/>
          <w:bCs/>
          <w:szCs w:val="21"/>
        </w:rPr>
      </w:pPr>
      <w:r>
        <w:rPr>
          <w:rFonts w:hint="eastAsia" w:ascii="黑体" w:hAnsi="宋体" w:eastAsia="黑体"/>
          <w:b/>
          <w:bCs/>
          <w:szCs w:val="21"/>
        </w:rPr>
        <w:t>三、主干学科</w:t>
      </w:r>
    </w:p>
    <w:p>
      <w:pPr>
        <w:spacing w:line="300" w:lineRule="auto"/>
        <w:rPr>
          <w:rFonts w:ascii="宋体" w:hAnsi="宋体"/>
          <w:bCs/>
          <w:szCs w:val="21"/>
        </w:rPr>
      </w:pPr>
      <w:r>
        <w:rPr>
          <w:rFonts w:hint="eastAsia" w:ascii="宋体" w:hAnsi="宋体"/>
          <w:bCs/>
          <w:szCs w:val="21"/>
        </w:rPr>
        <w:t>艺术学</w:t>
      </w:r>
      <w:r>
        <w:rPr>
          <w:rFonts w:hint="eastAsia" w:ascii="宋体" w:hAnsi="宋体"/>
          <w:bCs/>
        </w:rPr>
        <w:t>、设计学。</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四、教学特色课程</w:t>
      </w:r>
    </w:p>
    <w:p>
      <w:pPr>
        <w:spacing w:before="156" w:beforeLines="50" w:after="156" w:afterLines="50" w:line="300" w:lineRule="auto"/>
        <w:rPr>
          <w:rFonts w:ascii="宋体" w:hAnsi="宋体"/>
          <w:bCs/>
          <w:szCs w:val="21"/>
        </w:rPr>
      </w:pPr>
      <w:r>
        <w:rPr>
          <w:rFonts w:hint="eastAsia" w:ascii="宋体" w:hAnsi="宋体"/>
          <w:bCs/>
          <w:szCs w:val="21"/>
        </w:rPr>
        <w:tab/>
      </w:r>
      <w:r>
        <w:rPr>
          <w:rFonts w:hint="eastAsia" w:ascii="宋体" w:hAnsi="宋体"/>
          <w:bCs/>
          <w:szCs w:val="21"/>
        </w:rPr>
        <w:t>二维动态影像设计、虚拟现实基础。</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五、主要实践教学环节</w:t>
      </w:r>
    </w:p>
    <w:p>
      <w:pPr>
        <w:spacing w:line="300" w:lineRule="auto"/>
        <w:rPr>
          <w:rFonts w:ascii="宋体" w:hAnsi="宋体"/>
          <w:szCs w:val="21"/>
        </w:rPr>
      </w:pPr>
      <w:r>
        <w:rPr>
          <w:rFonts w:hint="eastAsia" w:ascii="宋体" w:hAnsi="宋体"/>
          <w:szCs w:val="21"/>
        </w:rPr>
        <w:tab/>
      </w:r>
      <w:r>
        <w:rPr>
          <w:rFonts w:hint="eastAsia" w:ascii="宋体" w:hAnsi="宋体"/>
          <w:szCs w:val="21"/>
        </w:rPr>
        <w:t>毕业设计。</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六、学制学位</w:t>
      </w:r>
    </w:p>
    <w:p>
      <w:pPr>
        <w:spacing w:before="156" w:beforeLines="50" w:after="156" w:afterLines="50" w:line="300" w:lineRule="auto"/>
        <w:rPr>
          <w:rFonts w:ascii="宋体" w:hAnsi="宋体"/>
          <w:color w:val="000000"/>
        </w:rPr>
      </w:pPr>
      <w:r>
        <w:rPr>
          <w:rFonts w:hint="eastAsia" w:ascii="宋体" w:hAnsi="宋体"/>
          <w:color w:val="000000"/>
        </w:rPr>
        <w:t>学制两年，修完学分达到之江学院毕业要求的获得艺术学学士学位。</w:t>
      </w:r>
    </w:p>
    <w:p>
      <w:pPr>
        <w:spacing w:before="156" w:beforeLines="50" w:after="156" w:afterLines="50" w:line="300" w:lineRule="auto"/>
        <w:rPr>
          <w:rFonts w:ascii="宋体" w:hAnsi="宋体"/>
          <w:color w:val="000000"/>
        </w:rPr>
      </w:pPr>
      <w:r>
        <w:rPr>
          <w:rFonts w:hint="eastAsia" w:ascii="宋体" w:hAnsi="宋体"/>
          <w:color w:val="000000"/>
        </w:rPr>
        <w:t>应在四年内获得主/辅修课程的规定学分，最多不超过六年。</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七、辅修总学分要求</w:t>
      </w:r>
    </w:p>
    <w:p>
      <w:pPr>
        <w:spacing w:line="300" w:lineRule="auto"/>
        <w:rPr>
          <w:rFonts w:ascii="宋体" w:hAnsi="宋体"/>
          <w:szCs w:val="21"/>
        </w:rPr>
      </w:pPr>
      <w:r>
        <w:rPr>
          <w:rFonts w:hint="eastAsia" w:ascii="宋体" w:hAnsi="宋体"/>
        </w:rPr>
        <w:t>最低毕业学分：18学分。</w:t>
      </w:r>
    </w:p>
    <w:p>
      <w:pPr>
        <w:spacing w:line="360" w:lineRule="auto"/>
        <w:rPr>
          <w:rFonts w:ascii="宋体" w:hAnsi="宋体"/>
          <w:szCs w:val="21"/>
        </w:rPr>
      </w:pPr>
      <w:r>
        <w:rPr>
          <w:rFonts w:hint="eastAsia" w:ascii="宋体" w:hAnsi="宋体"/>
          <w:szCs w:val="21"/>
        </w:rPr>
        <w:t>辅修专业证书学分要求：18学分，颁发辅修专业证书。若申请辅修专业学位，需加修毕业设计（论文）16学分，辅修专业学位证书学分要求：34学分。</w:t>
      </w:r>
    </w:p>
    <w:p>
      <w:pPr>
        <w:spacing w:line="360" w:lineRule="auto"/>
        <w:ind w:firstLine="420" w:firstLineChars="200"/>
        <w:rPr>
          <w:rFonts w:ascii="宋体" w:hAnsi="宋体"/>
          <w:szCs w:val="21"/>
        </w:rPr>
      </w:pPr>
    </w:p>
    <w:sectPr>
      <w:headerReference r:id="rId3" w:type="default"/>
      <w:pgSz w:w="11906" w:h="16838"/>
      <w:pgMar w:top="1418" w:right="1797" w:bottom="1418"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1E"/>
    <w:rsid w:val="00006940"/>
    <w:rsid w:val="00006F12"/>
    <w:rsid w:val="000242EF"/>
    <w:rsid w:val="0006603C"/>
    <w:rsid w:val="000A3B6E"/>
    <w:rsid w:val="000A4E4B"/>
    <w:rsid w:val="000A655D"/>
    <w:rsid w:val="000D4DA2"/>
    <w:rsid w:val="001C1A21"/>
    <w:rsid w:val="001C231E"/>
    <w:rsid w:val="001E0EE2"/>
    <w:rsid w:val="001E6680"/>
    <w:rsid w:val="00204699"/>
    <w:rsid w:val="002124C9"/>
    <w:rsid w:val="0022497D"/>
    <w:rsid w:val="00277159"/>
    <w:rsid w:val="002D7014"/>
    <w:rsid w:val="00302EFE"/>
    <w:rsid w:val="00340753"/>
    <w:rsid w:val="003A6D7E"/>
    <w:rsid w:val="003F5C1D"/>
    <w:rsid w:val="004427A9"/>
    <w:rsid w:val="004745D4"/>
    <w:rsid w:val="00477AA2"/>
    <w:rsid w:val="004A26F8"/>
    <w:rsid w:val="004A27F0"/>
    <w:rsid w:val="004B6629"/>
    <w:rsid w:val="004C0865"/>
    <w:rsid w:val="004C1E3C"/>
    <w:rsid w:val="004C4FE3"/>
    <w:rsid w:val="004F3EE6"/>
    <w:rsid w:val="005078BA"/>
    <w:rsid w:val="00515D7E"/>
    <w:rsid w:val="005366C4"/>
    <w:rsid w:val="00573AF7"/>
    <w:rsid w:val="005D4FDD"/>
    <w:rsid w:val="00621125"/>
    <w:rsid w:val="00641E6D"/>
    <w:rsid w:val="00696ABC"/>
    <w:rsid w:val="006D1008"/>
    <w:rsid w:val="006F7902"/>
    <w:rsid w:val="007055B8"/>
    <w:rsid w:val="007524EB"/>
    <w:rsid w:val="00762BB8"/>
    <w:rsid w:val="00782251"/>
    <w:rsid w:val="007B5030"/>
    <w:rsid w:val="007E1A35"/>
    <w:rsid w:val="008048E4"/>
    <w:rsid w:val="00812898"/>
    <w:rsid w:val="008311E8"/>
    <w:rsid w:val="008701E8"/>
    <w:rsid w:val="00882749"/>
    <w:rsid w:val="008B3B21"/>
    <w:rsid w:val="008C2AE0"/>
    <w:rsid w:val="008D5B78"/>
    <w:rsid w:val="00911D53"/>
    <w:rsid w:val="0093462A"/>
    <w:rsid w:val="009A7FE2"/>
    <w:rsid w:val="00A1008A"/>
    <w:rsid w:val="00A33DF1"/>
    <w:rsid w:val="00A473AA"/>
    <w:rsid w:val="00A553B2"/>
    <w:rsid w:val="00AA2C16"/>
    <w:rsid w:val="00AD50F4"/>
    <w:rsid w:val="00AE5427"/>
    <w:rsid w:val="00B133B8"/>
    <w:rsid w:val="00B23FAC"/>
    <w:rsid w:val="00B30287"/>
    <w:rsid w:val="00B50C14"/>
    <w:rsid w:val="00B9631F"/>
    <w:rsid w:val="00BF7D79"/>
    <w:rsid w:val="00C44168"/>
    <w:rsid w:val="00C476E2"/>
    <w:rsid w:val="00C64921"/>
    <w:rsid w:val="00C81745"/>
    <w:rsid w:val="00C95D6F"/>
    <w:rsid w:val="00CB3760"/>
    <w:rsid w:val="00D00643"/>
    <w:rsid w:val="00D14E9B"/>
    <w:rsid w:val="00DC5A43"/>
    <w:rsid w:val="00E55F72"/>
    <w:rsid w:val="00E867A4"/>
    <w:rsid w:val="00E95F85"/>
    <w:rsid w:val="00EB7E9E"/>
    <w:rsid w:val="00EC1067"/>
    <w:rsid w:val="00EE486A"/>
    <w:rsid w:val="00F22F9A"/>
    <w:rsid w:val="47922B1B"/>
    <w:rsid w:val="4DC321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qFormat/>
    <w:uiPriority w:val="0"/>
    <w:pPr>
      <w:ind w:firstLine="480" w:firstLineChars="200"/>
    </w:pPr>
    <w:rPr>
      <w:sz w:val="24"/>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243</Words>
  <Characters>1389</Characters>
  <Lines>11</Lines>
  <Paragraphs>3</Paragraphs>
  <TotalTime>50</TotalTime>
  <ScaleCrop>false</ScaleCrop>
  <LinksUpToDate>false</LinksUpToDate>
  <CharactersWithSpaces>1629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2018-08-09T07:49:00Z</dcterms:created>
  <dc:creator>zhu</dc:creator>
  <cp:lastModifiedBy>严肃帝！</cp:lastModifiedBy>
  <cp:lastPrinted>2016-05-19T07:11:00Z</cp:lastPrinted>
  <dcterms:modified xsi:type="dcterms:W3CDTF">2018-08-18T11:36:37Z</dcterms:modified>
  <dc:title>国际经济与贸易专业教学计划</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