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spacing w:before="156" w:beforeLines="50" w:after="312" w:afterLines="100"/>
        <w:jc w:val="center"/>
        <w:rPr>
          <w:rFonts w:ascii="方正小标宋_GBK" w:eastAsia="方正小标宋_GBK"/>
          <w:b/>
          <w:bCs/>
          <w:sz w:val="36"/>
          <w:szCs w:val="36"/>
        </w:rPr>
      </w:pPr>
      <w:r>
        <w:rPr>
          <w:rFonts w:hint="eastAsia" w:ascii="方正小标宋_GBK" w:eastAsia="方正小标宋_GBK"/>
          <w:b/>
          <w:bCs/>
          <w:sz w:val="36"/>
          <w:szCs w:val="36"/>
        </w:rPr>
        <w:t>工商管理专业培养计划</w:t>
      </w:r>
    </w:p>
    <w:p>
      <w:pPr>
        <w:spacing w:before="156" w:beforeLines="50" w:after="156" w:afterLines="50" w:line="300" w:lineRule="auto"/>
        <w:rPr>
          <w:rFonts w:ascii="黑体" w:hAnsi="宋体" w:eastAsia="黑体"/>
          <w:b/>
          <w:bCs/>
          <w:szCs w:val="21"/>
        </w:rPr>
      </w:pPr>
      <w:r>
        <w:rPr>
          <w:rFonts w:hint="eastAsia" w:ascii="黑体" w:hAnsi="宋体" w:eastAsia="黑体"/>
          <w:b/>
          <w:bCs/>
          <w:szCs w:val="21"/>
        </w:rPr>
        <w:t>一、培养目标</w:t>
      </w:r>
    </w:p>
    <w:p>
      <w:pPr>
        <w:spacing w:line="360" w:lineRule="auto"/>
        <w:ind w:firstLine="420" w:firstLineChars="200"/>
        <w:rPr>
          <w:rFonts w:hint="eastAsia" w:ascii="宋体" w:hAnsi="宋体"/>
          <w:szCs w:val="21"/>
        </w:rPr>
      </w:pPr>
      <w:r>
        <w:rPr>
          <w:rFonts w:hint="eastAsia" w:ascii="宋体" w:hAnsi="宋体"/>
          <w:szCs w:val="21"/>
        </w:rPr>
        <w:t>随着市场经济的发展，越来越多的经济组织需要工商管理专业人才。本专业培养适应市场经济需要的、具有极强的法律意识和从事工商经济活动与工商企业管理相关的知识和能力、能依法对经济组织进行科学有效的管理，提升能在各类工商企业、政府部门及科研院所从事管理类专业工作的、自身素质全面发展的复合型高级应用型人才。突出学生创新及创业能力，企业运营及营销能力、企业行政及人力资源管理能力，投资融资分析及管理能力的培养。突出培养企业行政及人力资源管理、技术经济及管理两个方向的专业人才。</w:t>
      </w:r>
    </w:p>
    <w:p>
      <w:pPr>
        <w:spacing w:before="156" w:beforeLines="50" w:after="156" w:afterLines="50" w:line="300" w:lineRule="auto"/>
        <w:rPr>
          <w:rFonts w:ascii="黑体" w:hAnsi="宋体" w:eastAsia="黑体"/>
          <w:b/>
          <w:bCs/>
          <w:szCs w:val="21"/>
        </w:rPr>
      </w:pPr>
      <w:r>
        <w:rPr>
          <w:rFonts w:hint="eastAsia" w:ascii="黑体" w:hAnsi="宋体" w:eastAsia="黑体"/>
          <w:b/>
          <w:bCs/>
          <w:szCs w:val="21"/>
        </w:rPr>
        <w:t>二、培养基本要求</w:t>
      </w:r>
    </w:p>
    <w:p>
      <w:pPr>
        <w:spacing w:line="360" w:lineRule="auto"/>
        <w:ind w:firstLine="420" w:firstLineChars="200"/>
        <w:rPr>
          <w:rFonts w:hint="eastAsia" w:ascii="宋体" w:hAnsi="宋体"/>
          <w:szCs w:val="21"/>
        </w:rPr>
      </w:pPr>
      <w:r>
        <w:rPr>
          <w:rFonts w:hint="eastAsia" w:ascii="宋体" w:hAnsi="宋体"/>
          <w:szCs w:val="21"/>
        </w:rPr>
        <w:t>本专业学生主要学习管理学、经济学的基本理论，接受企业的管理方法和技巧方面的基本训练，具有解决企业管理问题的基本能力。</w:t>
      </w:r>
    </w:p>
    <w:p>
      <w:pPr>
        <w:spacing w:line="360" w:lineRule="auto"/>
        <w:ind w:firstLine="420" w:firstLineChars="200"/>
        <w:rPr>
          <w:rFonts w:hint="eastAsia" w:ascii="宋体" w:hAnsi="宋体"/>
          <w:szCs w:val="21"/>
        </w:rPr>
      </w:pPr>
      <w:r>
        <w:rPr>
          <w:rFonts w:hint="eastAsia" w:ascii="宋体" w:hAnsi="宋体"/>
          <w:szCs w:val="21"/>
        </w:rPr>
        <w:t>本专业毕业生应获得以下方面的知识和能力：</w:t>
      </w:r>
    </w:p>
    <w:p>
      <w:pPr>
        <w:spacing w:line="360" w:lineRule="auto"/>
        <w:ind w:firstLine="420" w:firstLineChars="200"/>
        <w:rPr>
          <w:rFonts w:hint="eastAsia" w:ascii="宋体" w:hAnsi="宋体"/>
          <w:szCs w:val="21"/>
        </w:rPr>
      </w:pPr>
      <w:r>
        <w:rPr>
          <w:rFonts w:hint="eastAsia" w:ascii="宋体" w:hAnsi="宋体"/>
          <w:szCs w:val="21"/>
        </w:rPr>
        <w:t>1．掌握管理学、经济学的基本原理、基本理论、基本知识。</w:t>
      </w:r>
    </w:p>
    <w:p>
      <w:pPr>
        <w:spacing w:line="360" w:lineRule="auto"/>
        <w:ind w:firstLine="420" w:firstLineChars="200"/>
        <w:rPr>
          <w:rFonts w:hint="eastAsia" w:ascii="宋体" w:hAnsi="宋体"/>
          <w:szCs w:val="21"/>
        </w:rPr>
      </w:pPr>
      <w:r>
        <w:rPr>
          <w:rFonts w:hint="eastAsia" w:ascii="宋体" w:hAnsi="宋体"/>
          <w:szCs w:val="21"/>
        </w:rPr>
        <w:t>2．掌握管理问题的定性与定量分析方法。</w:t>
      </w:r>
    </w:p>
    <w:p>
      <w:pPr>
        <w:spacing w:line="360" w:lineRule="auto"/>
        <w:ind w:firstLine="420" w:firstLineChars="200"/>
        <w:rPr>
          <w:rFonts w:hint="eastAsia" w:ascii="宋体" w:hAnsi="宋体"/>
          <w:szCs w:val="21"/>
        </w:rPr>
      </w:pPr>
      <w:r>
        <w:rPr>
          <w:rFonts w:hint="eastAsia" w:ascii="宋体" w:hAnsi="宋体"/>
          <w:szCs w:val="21"/>
        </w:rPr>
        <w:t>3．具有较强的思考、表达、沟通以及解决问题的基本能力。</w:t>
      </w:r>
    </w:p>
    <w:p>
      <w:pPr>
        <w:spacing w:line="360" w:lineRule="auto"/>
        <w:ind w:firstLine="420" w:firstLineChars="200"/>
        <w:rPr>
          <w:rFonts w:hint="eastAsia" w:ascii="宋体" w:hAnsi="宋体"/>
          <w:szCs w:val="21"/>
        </w:rPr>
      </w:pPr>
      <w:r>
        <w:rPr>
          <w:rFonts w:hint="eastAsia" w:ascii="宋体" w:hAnsi="宋体"/>
          <w:szCs w:val="21"/>
        </w:rPr>
        <w:t>4．具有一定的企业行政管理能力和组织领导能力。</w:t>
      </w:r>
    </w:p>
    <w:p>
      <w:pPr>
        <w:spacing w:line="360" w:lineRule="auto"/>
        <w:ind w:firstLine="420" w:firstLineChars="200"/>
        <w:rPr>
          <w:rFonts w:hint="eastAsia" w:ascii="宋体" w:hAnsi="宋体"/>
          <w:szCs w:val="21"/>
        </w:rPr>
      </w:pPr>
      <w:r>
        <w:rPr>
          <w:rFonts w:hint="eastAsia" w:ascii="宋体" w:hAnsi="宋体"/>
          <w:szCs w:val="21"/>
        </w:rPr>
        <w:t>5．熟悉管理的有关法律与政策以及国际通行的规则与惯例。</w:t>
      </w:r>
    </w:p>
    <w:p>
      <w:pPr>
        <w:spacing w:line="360" w:lineRule="auto"/>
        <w:ind w:firstLine="420" w:firstLineChars="200"/>
        <w:rPr>
          <w:rFonts w:hint="eastAsia" w:ascii="宋体" w:hAnsi="宋体"/>
          <w:szCs w:val="21"/>
        </w:rPr>
      </w:pPr>
      <w:r>
        <w:rPr>
          <w:rFonts w:hint="eastAsia" w:ascii="宋体" w:hAnsi="宋体"/>
          <w:szCs w:val="21"/>
        </w:rPr>
        <w:t>6．具有较高的商务外语能力和经济管理软件的使用能力。</w:t>
      </w:r>
    </w:p>
    <w:p>
      <w:pPr>
        <w:spacing w:line="300" w:lineRule="auto"/>
        <w:ind w:firstLine="367" w:firstLineChars="175"/>
        <w:rPr>
          <w:rFonts w:hint="eastAsia" w:ascii="宋体" w:hAnsi="宋体"/>
          <w:szCs w:val="21"/>
        </w:rPr>
      </w:pPr>
      <w:r>
        <w:rPr>
          <w:rFonts w:hint="eastAsia" w:ascii="宋体" w:hAnsi="宋体"/>
          <w:szCs w:val="21"/>
        </w:rPr>
        <w:t>具体而言，工商管理专业的人才培养包含如下相应素质结构和能力结构：</w:t>
      </w:r>
    </w:p>
    <w:p>
      <w:pPr>
        <w:pStyle w:val="4"/>
        <w:spacing w:line="360" w:lineRule="exact"/>
        <w:ind w:firstLine="413" w:firstLineChars="196"/>
        <w:jc w:val="center"/>
        <w:rPr>
          <w:rFonts w:hint="eastAsia" w:ascii="宋体" w:hAnsi="宋体"/>
          <w:b/>
          <w:bCs/>
        </w:rPr>
      </w:pPr>
      <w:r>
        <w:rPr>
          <w:rFonts w:hint="eastAsia" w:ascii="宋体" w:hAnsi="宋体"/>
          <w:b/>
          <w:bCs/>
        </w:rPr>
        <w:t>表1：工商管理专业人才素质结构及培养途径分解表</w:t>
      </w:r>
    </w:p>
    <w:tbl>
      <w:tblPr>
        <w:tblStyle w:val="9"/>
        <w:tblW w:w="9288" w:type="dxa"/>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386"/>
        <w:gridCol w:w="1079"/>
        <w:gridCol w:w="7823"/>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315" w:hRule="atLeast"/>
        </w:trPr>
        <w:tc>
          <w:tcPr>
            <w:tcW w:w="1465" w:type="dxa"/>
            <w:gridSpan w:val="2"/>
            <w:vAlign w:val="center"/>
          </w:tcPr>
          <w:p>
            <w:pPr>
              <w:jc w:val="center"/>
              <w:rPr>
                <w:b/>
                <w:sz w:val="18"/>
                <w:szCs w:val="18"/>
              </w:rPr>
            </w:pPr>
            <w:r>
              <w:rPr>
                <w:b/>
                <w:sz w:val="18"/>
                <w:szCs w:val="18"/>
              </w:rPr>
              <w:t>素质名称</w:t>
            </w:r>
          </w:p>
        </w:tc>
        <w:tc>
          <w:tcPr>
            <w:tcW w:w="7823" w:type="dxa"/>
            <w:vAlign w:val="center"/>
          </w:tcPr>
          <w:p>
            <w:pPr>
              <w:jc w:val="center"/>
              <w:rPr>
                <w:b/>
                <w:sz w:val="18"/>
                <w:szCs w:val="18"/>
              </w:rPr>
            </w:pPr>
            <w:r>
              <w:rPr>
                <w:b/>
                <w:sz w:val="18"/>
                <w:szCs w:val="18"/>
              </w:rPr>
              <w:t>培养途径</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624" w:hRule="atLeast"/>
        </w:trPr>
        <w:tc>
          <w:tcPr>
            <w:tcW w:w="1465" w:type="dxa"/>
            <w:gridSpan w:val="2"/>
            <w:vAlign w:val="center"/>
          </w:tcPr>
          <w:p>
            <w:pPr>
              <w:jc w:val="center"/>
              <w:rPr>
                <w:sz w:val="18"/>
                <w:szCs w:val="18"/>
              </w:rPr>
            </w:pPr>
            <w:r>
              <w:rPr>
                <w:sz w:val="18"/>
                <w:szCs w:val="18"/>
              </w:rPr>
              <w:t>政治素质</w:t>
            </w:r>
          </w:p>
        </w:tc>
        <w:tc>
          <w:tcPr>
            <w:tcW w:w="7823" w:type="dxa"/>
          </w:tcPr>
          <w:p>
            <w:pPr>
              <w:rPr>
                <w:sz w:val="18"/>
                <w:szCs w:val="18"/>
              </w:rPr>
            </w:pPr>
            <w:r>
              <w:rPr>
                <w:sz w:val="18"/>
                <w:szCs w:val="18"/>
              </w:rPr>
              <w:t>通过开设《</w:t>
            </w:r>
            <w:r>
              <w:rPr>
                <w:bCs/>
                <w:sz w:val="18"/>
                <w:szCs w:val="18"/>
              </w:rPr>
              <w:t>毛泽东思想和中国特色社会主义理论体系概论</w:t>
            </w:r>
            <w:r>
              <w:rPr>
                <w:sz w:val="18"/>
                <w:szCs w:val="18"/>
              </w:rPr>
              <w:t>》、《马克思主义基本原理》、《中国近现代史纲要》等政治修养类课程，开办业余党校等活动实现。</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624" w:hRule="atLeast"/>
        </w:trPr>
        <w:tc>
          <w:tcPr>
            <w:tcW w:w="1465" w:type="dxa"/>
            <w:gridSpan w:val="2"/>
            <w:vAlign w:val="center"/>
          </w:tcPr>
          <w:p>
            <w:pPr>
              <w:jc w:val="center"/>
              <w:rPr>
                <w:sz w:val="18"/>
                <w:szCs w:val="18"/>
              </w:rPr>
            </w:pPr>
            <w:r>
              <w:rPr>
                <w:sz w:val="18"/>
                <w:szCs w:val="18"/>
              </w:rPr>
              <w:t>道德素质</w:t>
            </w:r>
          </w:p>
        </w:tc>
        <w:tc>
          <w:tcPr>
            <w:tcW w:w="7823" w:type="dxa"/>
          </w:tcPr>
          <w:p>
            <w:pPr>
              <w:rPr>
                <w:sz w:val="18"/>
                <w:szCs w:val="18"/>
              </w:rPr>
            </w:pPr>
            <w:r>
              <w:rPr>
                <w:sz w:val="18"/>
                <w:szCs w:val="18"/>
              </w:rPr>
              <w:t>通过开设《思想道德修养与法律基础》、《专业导论》、《就业指导》等道德修养类课程，开展劳动、校园文化等活动实现。</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621" w:hRule="atLeast"/>
        </w:trPr>
        <w:tc>
          <w:tcPr>
            <w:tcW w:w="386" w:type="dxa"/>
            <w:vMerge w:val="restart"/>
            <w:vAlign w:val="center"/>
          </w:tcPr>
          <w:p>
            <w:pPr>
              <w:jc w:val="center"/>
              <w:rPr>
                <w:sz w:val="18"/>
                <w:szCs w:val="18"/>
              </w:rPr>
            </w:pPr>
            <w:r>
              <w:rPr>
                <w:sz w:val="18"/>
                <w:szCs w:val="18"/>
              </w:rPr>
              <w:t>业务素质</w:t>
            </w:r>
          </w:p>
        </w:tc>
        <w:tc>
          <w:tcPr>
            <w:tcW w:w="1079" w:type="dxa"/>
            <w:vAlign w:val="center"/>
          </w:tcPr>
          <w:p>
            <w:pPr>
              <w:jc w:val="center"/>
              <w:rPr>
                <w:rFonts w:hint="eastAsia"/>
                <w:sz w:val="18"/>
                <w:szCs w:val="18"/>
              </w:rPr>
            </w:pPr>
            <w:r>
              <w:rPr>
                <w:rFonts w:hint="eastAsia"/>
                <w:sz w:val="18"/>
                <w:szCs w:val="18"/>
              </w:rPr>
              <w:t>方向一：技术经济及管理</w:t>
            </w:r>
          </w:p>
        </w:tc>
        <w:tc>
          <w:tcPr>
            <w:tcW w:w="7823" w:type="dxa"/>
          </w:tcPr>
          <w:p>
            <w:pPr>
              <w:rPr>
                <w:sz w:val="18"/>
                <w:szCs w:val="18"/>
              </w:rPr>
            </w:pPr>
            <w:r>
              <w:rPr>
                <w:sz w:val="18"/>
                <w:szCs w:val="18"/>
              </w:rPr>
              <w:t>通过</w:t>
            </w:r>
            <w:r>
              <w:rPr>
                <w:rFonts w:hint="eastAsia"/>
                <w:sz w:val="18"/>
                <w:szCs w:val="18"/>
              </w:rPr>
              <w:t>创业管理、战略管理、市场营销</w:t>
            </w:r>
            <w:r>
              <w:rPr>
                <w:sz w:val="18"/>
                <w:szCs w:val="18"/>
              </w:rPr>
              <w:t>等专业核心课程等相关</w:t>
            </w:r>
            <w:r>
              <w:rPr>
                <w:rFonts w:hint="eastAsia"/>
                <w:sz w:val="18"/>
                <w:szCs w:val="18"/>
              </w:rPr>
              <w:t>专业</w:t>
            </w:r>
            <w:r>
              <w:rPr>
                <w:sz w:val="18"/>
                <w:szCs w:val="18"/>
              </w:rPr>
              <w:t>知识教育，《</w:t>
            </w:r>
            <w:r>
              <w:rPr>
                <w:rFonts w:hint="eastAsia"/>
                <w:sz w:val="18"/>
                <w:szCs w:val="18"/>
              </w:rPr>
              <w:t>创业计划课程设计</w:t>
            </w:r>
            <w:r>
              <w:rPr>
                <w:sz w:val="18"/>
                <w:szCs w:val="18"/>
              </w:rPr>
              <w:t>》</w:t>
            </w:r>
            <w:r>
              <w:rPr>
                <w:rFonts w:hint="eastAsia"/>
                <w:sz w:val="18"/>
                <w:szCs w:val="18"/>
              </w:rPr>
              <w:t>、《战略管理课程设计》、《等课程和实践锻炼，提升和发展学生从事创业、中小企业经营与管理等</w:t>
            </w:r>
            <w:r>
              <w:rPr>
                <w:sz w:val="18"/>
                <w:szCs w:val="18"/>
              </w:rPr>
              <w:t>专业核心技能、方法和能力。</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621" w:hRule="atLeast"/>
        </w:trPr>
        <w:tc>
          <w:tcPr>
            <w:tcW w:w="386" w:type="dxa"/>
            <w:vMerge w:val="continue"/>
            <w:vAlign w:val="center"/>
          </w:tcPr>
          <w:p/>
        </w:tc>
        <w:tc>
          <w:tcPr>
            <w:tcW w:w="1079" w:type="dxa"/>
            <w:vAlign w:val="center"/>
          </w:tcPr>
          <w:p>
            <w:pPr>
              <w:rPr>
                <w:rFonts w:hint="eastAsia"/>
                <w:sz w:val="18"/>
                <w:szCs w:val="18"/>
              </w:rPr>
            </w:pPr>
            <w:r>
              <w:rPr>
                <w:rFonts w:hint="eastAsia"/>
                <w:sz w:val="18"/>
                <w:szCs w:val="18"/>
              </w:rPr>
              <w:t>方向二：行政与人力资源管理</w:t>
            </w:r>
          </w:p>
        </w:tc>
        <w:tc>
          <w:tcPr>
            <w:tcW w:w="7823" w:type="dxa"/>
          </w:tcPr>
          <w:p>
            <w:pPr>
              <w:rPr>
                <w:rFonts w:hint="eastAsia"/>
                <w:sz w:val="18"/>
                <w:szCs w:val="18"/>
              </w:rPr>
            </w:pPr>
            <w:r>
              <w:rPr>
                <w:rFonts w:hint="eastAsia"/>
                <w:sz w:val="18"/>
                <w:szCs w:val="18"/>
              </w:rPr>
              <w:t>通过人力资源管理系列专业课程、公文写作与处理、人力资源法律法规等专业核心理论课程，以及《绩效考核与薪酬体系课程设计》等实践环节提升和发展学生的专业核心技能、方法和能力。</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629" w:hRule="atLeast"/>
        </w:trPr>
        <w:tc>
          <w:tcPr>
            <w:tcW w:w="1465" w:type="dxa"/>
            <w:gridSpan w:val="2"/>
            <w:vAlign w:val="center"/>
          </w:tcPr>
          <w:p>
            <w:pPr>
              <w:jc w:val="center"/>
              <w:rPr>
                <w:sz w:val="18"/>
                <w:szCs w:val="18"/>
              </w:rPr>
            </w:pPr>
            <w:r>
              <w:rPr>
                <w:sz w:val="18"/>
                <w:szCs w:val="18"/>
              </w:rPr>
              <w:t>身心素质</w:t>
            </w:r>
          </w:p>
        </w:tc>
        <w:tc>
          <w:tcPr>
            <w:tcW w:w="7823" w:type="dxa"/>
          </w:tcPr>
          <w:p>
            <w:pPr>
              <w:rPr>
                <w:sz w:val="18"/>
                <w:szCs w:val="18"/>
              </w:rPr>
            </w:pPr>
            <w:r>
              <w:rPr>
                <w:sz w:val="18"/>
                <w:szCs w:val="18"/>
              </w:rPr>
              <w:t>通过开设《心理健康教育》、《体育》等身心修养类课程，通过军训、各类体育运动及其它校园活动实现。</w:t>
            </w:r>
          </w:p>
        </w:tc>
      </w:tr>
    </w:tbl>
    <w:p>
      <w:pPr>
        <w:pStyle w:val="4"/>
        <w:spacing w:line="360" w:lineRule="exact"/>
        <w:ind w:firstLine="354" w:firstLineChars="196"/>
        <w:jc w:val="center"/>
        <w:rPr>
          <w:rFonts w:hint="eastAsia"/>
          <w:b/>
          <w:bCs/>
          <w:sz w:val="18"/>
          <w:szCs w:val="18"/>
        </w:rPr>
      </w:pPr>
    </w:p>
    <w:p>
      <w:pPr>
        <w:pStyle w:val="4"/>
        <w:spacing w:line="360" w:lineRule="exact"/>
        <w:ind w:firstLine="354" w:firstLineChars="196"/>
        <w:jc w:val="center"/>
        <w:rPr>
          <w:rFonts w:hint="eastAsia"/>
          <w:b/>
          <w:bCs/>
          <w:sz w:val="18"/>
          <w:szCs w:val="18"/>
        </w:rPr>
      </w:pPr>
    </w:p>
    <w:p>
      <w:pPr>
        <w:pStyle w:val="4"/>
        <w:spacing w:line="360" w:lineRule="exact"/>
        <w:ind w:firstLine="413" w:firstLineChars="196"/>
        <w:jc w:val="center"/>
        <w:rPr>
          <w:rFonts w:ascii="宋体" w:hAnsi="宋体"/>
          <w:b/>
          <w:bCs/>
        </w:rPr>
      </w:pPr>
      <w:r>
        <w:rPr>
          <w:rFonts w:ascii="宋体" w:hAnsi="宋体"/>
          <w:b/>
          <w:bCs/>
        </w:rPr>
        <w:t>表</w:t>
      </w:r>
      <w:r>
        <w:rPr>
          <w:rFonts w:hint="eastAsia" w:ascii="宋体" w:hAnsi="宋体"/>
          <w:b/>
          <w:bCs/>
        </w:rPr>
        <w:t>2</w:t>
      </w:r>
      <w:r>
        <w:rPr>
          <w:rFonts w:ascii="宋体" w:hAnsi="宋体"/>
          <w:b/>
          <w:bCs/>
        </w:rPr>
        <w:t>：</w:t>
      </w:r>
      <w:r>
        <w:rPr>
          <w:rFonts w:hint="eastAsia" w:ascii="宋体" w:hAnsi="宋体"/>
          <w:b/>
          <w:bCs/>
        </w:rPr>
        <w:t>工商管理专业人才</w:t>
      </w:r>
      <w:r>
        <w:rPr>
          <w:rFonts w:ascii="宋体" w:hAnsi="宋体"/>
          <w:b/>
          <w:bCs/>
        </w:rPr>
        <w:t>能力结构及培养途径分解表</w:t>
      </w:r>
    </w:p>
    <w:tbl>
      <w:tblPr>
        <w:tblStyle w:val="9"/>
        <w:tblW w:w="9288" w:type="dxa"/>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368"/>
        <w:gridCol w:w="354"/>
        <w:gridCol w:w="1245"/>
        <w:gridCol w:w="7321"/>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296" w:hRule="atLeast"/>
        </w:trPr>
        <w:tc>
          <w:tcPr>
            <w:tcW w:w="1967" w:type="dxa"/>
            <w:gridSpan w:val="3"/>
            <w:vAlign w:val="center"/>
          </w:tcPr>
          <w:p>
            <w:pPr>
              <w:jc w:val="center"/>
              <w:rPr>
                <w:b/>
                <w:sz w:val="18"/>
                <w:szCs w:val="18"/>
              </w:rPr>
            </w:pPr>
            <w:r>
              <w:rPr>
                <w:b/>
                <w:sz w:val="18"/>
                <w:szCs w:val="18"/>
              </w:rPr>
              <w:t>能力名称</w:t>
            </w:r>
          </w:p>
        </w:tc>
        <w:tc>
          <w:tcPr>
            <w:tcW w:w="7321" w:type="dxa"/>
            <w:vAlign w:val="center"/>
          </w:tcPr>
          <w:p>
            <w:pPr>
              <w:jc w:val="center"/>
              <w:rPr>
                <w:b/>
                <w:sz w:val="18"/>
                <w:szCs w:val="18"/>
              </w:rPr>
            </w:pPr>
            <w:r>
              <w:rPr>
                <w:b/>
                <w:sz w:val="18"/>
                <w:szCs w:val="18"/>
              </w:rPr>
              <w:t>培养途径</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trHeight w:val="587" w:hRule="atLeast"/>
        </w:trPr>
        <w:tc>
          <w:tcPr>
            <w:tcW w:w="368" w:type="dxa"/>
            <w:vMerge w:val="restart"/>
            <w:vAlign w:val="center"/>
          </w:tcPr>
          <w:p>
            <w:pPr>
              <w:jc w:val="center"/>
              <w:rPr>
                <w:sz w:val="18"/>
                <w:szCs w:val="18"/>
              </w:rPr>
            </w:pPr>
            <w:r>
              <w:rPr>
                <w:sz w:val="18"/>
                <w:szCs w:val="18"/>
              </w:rPr>
              <w:t>基本</w:t>
            </w:r>
          </w:p>
          <w:p>
            <w:pPr>
              <w:jc w:val="center"/>
              <w:rPr>
                <w:sz w:val="18"/>
                <w:szCs w:val="18"/>
              </w:rPr>
            </w:pPr>
            <w:r>
              <w:rPr>
                <w:sz w:val="18"/>
                <w:szCs w:val="18"/>
              </w:rPr>
              <w:t>能力</w:t>
            </w:r>
          </w:p>
        </w:tc>
        <w:tc>
          <w:tcPr>
            <w:tcW w:w="1599" w:type="dxa"/>
            <w:gridSpan w:val="2"/>
            <w:vAlign w:val="center"/>
          </w:tcPr>
          <w:p>
            <w:pPr>
              <w:jc w:val="center"/>
              <w:rPr>
                <w:sz w:val="18"/>
                <w:szCs w:val="18"/>
              </w:rPr>
            </w:pPr>
            <w:r>
              <w:rPr>
                <w:rFonts w:hint="eastAsia"/>
                <w:sz w:val="18"/>
                <w:szCs w:val="18"/>
              </w:rPr>
              <w:t>认知能力</w:t>
            </w:r>
          </w:p>
        </w:tc>
        <w:tc>
          <w:tcPr>
            <w:tcW w:w="7321" w:type="dxa"/>
          </w:tcPr>
          <w:p>
            <w:pPr>
              <w:rPr>
                <w:sz w:val="18"/>
                <w:szCs w:val="18"/>
              </w:rPr>
            </w:pPr>
            <w:r>
              <w:rPr>
                <w:rFonts w:hint="eastAsia"/>
                <w:sz w:val="18"/>
                <w:szCs w:val="18"/>
              </w:rPr>
              <w:t>通过开设《应用统计》、《统计软件》、《专业认识导论》、《管理学》等课程，辅之以企业认识实习与组织文化课程设计等短学期社会实践环节，提升学生的调查、分析、学习、思考、总结等方面的能力。</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trHeight w:val="587" w:hRule="atLeast"/>
        </w:trPr>
        <w:tc>
          <w:tcPr>
            <w:tcW w:w="368" w:type="dxa"/>
            <w:vMerge w:val="continue"/>
            <w:vAlign w:val="center"/>
          </w:tcPr>
          <w:p>
            <w:pPr>
              <w:widowControl/>
              <w:jc w:val="left"/>
              <w:rPr>
                <w:sz w:val="18"/>
                <w:szCs w:val="18"/>
              </w:rPr>
            </w:pPr>
          </w:p>
        </w:tc>
        <w:tc>
          <w:tcPr>
            <w:tcW w:w="1599" w:type="dxa"/>
            <w:gridSpan w:val="2"/>
            <w:vAlign w:val="center"/>
          </w:tcPr>
          <w:p>
            <w:pPr>
              <w:jc w:val="center"/>
              <w:rPr>
                <w:sz w:val="18"/>
                <w:szCs w:val="18"/>
              </w:rPr>
            </w:pPr>
            <w:r>
              <w:rPr>
                <w:sz w:val="18"/>
                <w:szCs w:val="18"/>
              </w:rPr>
              <w:t>学习能力</w:t>
            </w:r>
          </w:p>
        </w:tc>
        <w:tc>
          <w:tcPr>
            <w:tcW w:w="7321" w:type="dxa"/>
          </w:tcPr>
          <w:p>
            <w:pPr>
              <w:rPr>
                <w:sz w:val="18"/>
                <w:szCs w:val="18"/>
              </w:rPr>
            </w:pPr>
            <w:r>
              <w:rPr>
                <w:rFonts w:hint="eastAsia"/>
                <w:sz w:val="18"/>
                <w:szCs w:val="18"/>
              </w:rPr>
              <w:t>通过入学专业思想教育、专业课程的学习，使学生掌握工商管理专业学习特点和方法，明确学习目的，通过课内外教学实践，培养学生合作学习能力；通过学科平台，培养学生自主学习能力；通过开设计算机基础、信息类课程，培养学生运用互联网的学习能力。</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trHeight w:val="587" w:hRule="atLeast"/>
        </w:trPr>
        <w:tc>
          <w:tcPr>
            <w:tcW w:w="368" w:type="dxa"/>
            <w:vMerge w:val="continue"/>
            <w:vAlign w:val="center"/>
          </w:tcPr>
          <w:p>
            <w:pPr>
              <w:widowControl/>
              <w:jc w:val="left"/>
              <w:rPr>
                <w:sz w:val="18"/>
                <w:szCs w:val="18"/>
              </w:rPr>
            </w:pPr>
          </w:p>
        </w:tc>
        <w:tc>
          <w:tcPr>
            <w:tcW w:w="1599" w:type="dxa"/>
            <w:gridSpan w:val="2"/>
            <w:vAlign w:val="center"/>
          </w:tcPr>
          <w:p>
            <w:pPr>
              <w:jc w:val="center"/>
              <w:rPr>
                <w:sz w:val="18"/>
                <w:szCs w:val="18"/>
              </w:rPr>
            </w:pPr>
            <w:r>
              <w:rPr>
                <w:sz w:val="18"/>
                <w:szCs w:val="18"/>
              </w:rPr>
              <w:t>思辨能力</w:t>
            </w:r>
          </w:p>
        </w:tc>
        <w:tc>
          <w:tcPr>
            <w:tcW w:w="7321" w:type="dxa"/>
          </w:tcPr>
          <w:p>
            <w:pPr>
              <w:rPr>
                <w:sz w:val="18"/>
                <w:szCs w:val="18"/>
              </w:rPr>
            </w:pPr>
            <w:r>
              <w:rPr>
                <w:sz w:val="18"/>
                <w:szCs w:val="18"/>
              </w:rPr>
              <w:t>通过开设</w:t>
            </w:r>
            <w:r>
              <w:rPr>
                <w:rFonts w:hint="eastAsia"/>
                <w:sz w:val="18"/>
                <w:szCs w:val="18"/>
              </w:rPr>
              <w:t>哲学类、商务谈判等</w:t>
            </w:r>
            <w:r>
              <w:rPr>
                <w:sz w:val="18"/>
                <w:szCs w:val="18"/>
              </w:rPr>
              <w:t>课程以及组织开展</w:t>
            </w:r>
            <w:r>
              <w:rPr>
                <w:rFonts w:hint="eastAsia"/>
                <w:sz w:val="18"/>
                <w:szCs w:val="18"/>
              </w:rPr>
              <w:t>演讲、商务谈判、辩论赛</w:t>
            </w:r>
            <w:r>
              <w:rPr>
                <w:sz w:val="18"/>
                <w:szCs w:val="18"/>
              </w:rPr>
              <w:t>等课内外教学活动实现。</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trHeight w:val="587" w:hRule="atLeast"/>
        </w:trPr>
        <w:tc>
          <w:tcPr>
            <w:tcW w:w="368" w:type="dxa"/>
            <w:vMerge w:val="continue"/>
            <w:vAlign w:val="center"/>
          </w:tcPr>
          <w:p>
            <w:pPr>
              <w:widowControl/>
              <w:jc w:val="left"/>
              <w:rPr>
                <w:sz w:val="18"/>
                <w:szCs w:val="18"/>
              </w:rPr>
            </w:pPr>
          </w:p>
        </w:tc>
        <w:tc>
          <w:tcPr>
            <w:tcW w:w="1599" w:type="dxa"/>
            <w:gridSpan w:val="2"/>
            <w:vAlign w:val="center"/>
          </w:tcPr>
          <w:p>
            <w:pPr>
              <w:jc w:val="center"/>
              <w:rPr>
                <w:sz w:val="18"/>
                <w:szCs w:val="18"/>
              </w:rPr>
            </w:pPr>
            <w:r>
              <w:rPr>
                <w:sz w:val="18"/>
                <w:szCs w:val="18"/>
              </w:rPr>
              <w:t>基本创新能力</w:t>
            </w:r>
          </w:p>
        </w:tc>
        <w:tc>
          <w:tcPr>
            <w:tcW w:w="7321" w:type="dxa"/>
          </w:tcPr>
          <w:p>
            <w:pPr>
              <w:rPr>
                <w:sz w:val="18"/>
                <w:szCs w:val="18"/>
              </w:rPr>
            </w:pPr>
            <w:r>
              <w:rPr>
                <w:sz w:val="18"/>
                <w:szCs w:val="18"/>
              </w:rPr>
              <w:t>通过开设</w:t>
            </w:r>
            <w:r>
              <w:rPr>
                <w:rFonts w:hint="eastAsia"/>
                <w:sz w:val="18"/>
                <w:szCs w:val="18"/>
              </w:rPr>
              <w:t>《管理学》、《创业管理》、《战略管理》、《营销管理》以及《精细化工产品概论》、《医药产品概论》、《工程识图》、《机电技术基础》</w:t>
            </w:r>
            <w:r>
              <w:rPr>
                <w:sz w:val="18"/>
                <w:szCs w:val="18"/>
              </w:rPr>
              <w:t>等课程，</w:t>
            </w:r>
            <w:r>
              <w:rPr>
                <w:rFonts w:hint="eastAsia"/>
                <w:sz w:val="18"/>
                <w:szCs w:val="18"/>
              </w:rPr>
              <w:t>举办学术讲座或研讨活动，</w:t>
            </w:r>
            <w:r>
              <w:rPr>
                <w:sz w:val="18"/>
                <w:szCs w:val="18"/>
              </w:rPr>
              <w:t>开展学生科技竞赛</w:t>
            </w:r>
            <w:r>
              <w:rPr>
                <w:rFonts w:hint="eastAsia"/>
                <w:sz w:val="18"/>
                <w:szCs w:val="18"/>
              </w:rPr>
              <w:t>，开展师生科研结对等活动，同时通过让学生撰写学期论文和毕业论文，培养学生的创新意识与创新能力。</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trHeight w:val="651" w:hRule="atLeast"/>
        </w:trPr>
        <w:tc>
          <w:tcPr>
            <w:tcW w:w="368" w:type="dxa"/>
            <w:vMerge w:val="restart"/>
            <w:vAlign w:val="center"/>
          </w:tcPr>
          <w:p>
            <w:pPr>
              <w:jc w:val="center"/>
              <w:rPr>
                <w:sz w:val="18"/>
                <w:szCs w:val="18"/>
              </w:rPr>
            </w:pPr>
            <w:r>
              <w:rPr>
                <w:sz w:val="18"/>
                <w:szCs w:val="18"/>
              </w:rPr>
              <w:t>专业能力</w:t>
            </w:r>
          </w:p>
        </w:tc>
        <w:tc>
          <w:tcPr>
            <w:tcW w:w="354" w:type="dxa"/>
            <w:vMerge w:val="restart"/>
            <w:vAlign w:val="center"/>
          </w:tcPr>
          <w:p>
            <w:pPr>
              <w:jc w:val="center"/>
              <w:rPr>
                <w:sz w:val="18"/>
                <w:szCs w:val="18"/>
              </w:rPr>
            </w:pPr>
            <w:r>
              <w:rPr>
                <w:sz w:val="18"/>
                <w:szCs w:val="18"/>
              </w:rPr>
              <w:t>核</w:t>
            </w:r>
          </w:p>
          <w:p>
            <w:pPr>
              <w:jc w:val="center"/>
              <w:rPr>
                <w:sz w:val="18"/>
                <w:szCs w:val="18"/>
              </w:rPr>
            </w:pPr>
            <w:r>
              <w:rPr>
                <w:sz w:val="18"/>
                <w:szCs w:val="18"/>
              </w:rPr>
              <w:t>心能力</w:t>
            </w:r>
          </w:p>
        </w:tc>
        <w:tc>
          <w:tcPr>
            <w:tcW w:w="1245" w:type="dxa"/>
            <w:vAlign w:val="center"/>
          </w:tcPr>
          <w:p>
            <w:pPr>
              <w:jc w:val="center"/>
              <w:rPr>
                <w:rFonts w:hint="eastAsia"/>
                <w:sz w:val="18"/>
                <w:szCs w:val="18"/>
              </w:rPr>
            </w:pPr>
            <w:r>
              <w:rPr>
                <w:sz w:val="18"/>
                <w:szCs w:val="18"/>
              </w:rPr>
              <w:t>交流协作能力</w:t>
            </w:r>
          </w:p>
        </w:tc>
        <w:tc>
          <w:tcPr>
            <w:tcW w:w="7321" w:type="dxa"/>
          </w:tcPr>
          <w:p>
            <w:pPr>
              <w:rPr>
                <w:sz w:val="18"/>
                <w:szCs w:val="18"/>
              </w:rPr>
            </w:pPr>
            <w:r>
              <w:rPr>
                <w:rFonts w:hint="eastAsia"/>
                <w:sz w:val="18"/>
                <w:szCs w:val="18"/>
              </w:rPr>
              <w:t>通过开设《管理学》、《团队建设与领导科学》、《公文写作与处理》、《秘书学》、《创业计划》课程设计等课程，让学生积极参加实习、社会实践、军训、校园文化和第二课堂等活动，从而培养其交流协作能力。</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trHeight w:val="704" w:hRule="atLeast"/>
        </w:trPr>
        <w:tc>
          <w:tcPr>
            <w:tcW w:w="368" w:type="dxa"/>
            <w:vMerge w:val="continue"/>
            <w:vAlign w:val="center"/>
          </w:tcPr>
          <w:p>
            <w:pPr>
              <w:widowControl/>
              <w:jc w:val="left"/>
              <w:rPr>
                <w:sz w:val="18"/>
                <w:szCs w:val="18"/>
              </w:rPr>
            </w:pPr>
          </w:p>
        </w:tc>
        <w:tc>
          <w:tcPr>
            <w:tcW w:w="354" w:type="dxa"/>
            <w:vMerge w:val="continue"/>
            <w:vAlign w:val="center"/>
          </w:tcPr>
          <w:p>
            <w:pPr>
              <w:widowControl/>
              <w:jc w:val="left"/>
              <w:rPr>
                <w:sz w:val="18"/>
                <w:szCs w:val="18"/>
              </w:rPr>
            </w:pPr>
          </w:p>
        </w:tc>
        <w:tc>
          <w:tcPr>
            <w:tcW w:w="1245" w:type="dxa"/>
            <w:vAlign w:val="center"/>
          </w:tcPr>
          <w:p>
            <w:pPr>
              <w:jc w:val="center"/>
              <w:rPr>
                <w:rFonts w:hint="eastAsia"/>
                <w:sz w:val="18"/>
                <w:szCs w:val="18"/>
              </w:rPr>
            </w:pPr>
            <w:r>
              <w:rPr>
                <w:rFonts w:hint="eastAsia"/>
                <w:sz w:val="18"/>
                <w:szCs w:val="18"/>
              </w:rPr>
              <w:t>交往能力</w:t>
            </w:r>
          </w:p>
        </w:tc>
        <w:tc>
          <w:tcPr>
            <w:tcW w:w="7321" w:type="dxa"/>
          </w:tcPr>
          <w:p>
            <w:pPr>
              <w:rPr>
                <w:sz w:val="18"/>
                <w:szCs w:val="18"/>
              </w:rPr>
            </w:pPr>
            <w:r>
              <w:rPr>
                <w:rFonts w:hint="eastAsia"/>
                <w:sz w:val="18"/>
                <w:szCs w:val="18"/>
              </w:rPr>
              <w:t>通过开设《管理学》、《组织行为学》、《团队建设与领导科学》、《公共关系学》等课程，并在课程学习过程当中尽量采用案例分析研讨，小组作业，小组案例汇报、答辩等形式，提升学生的感受、理解、表达、沟通、协调等方面的能力。</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trHeight w:val="1276" w:hRule="atLeast"/>
        </w:trPr>
        <w:tc>
          <w:tcPr>
            <w:tcW w:w="368" w:type="dxa"/>
            <w:vMerge w:val="continue"/>
            <w:vAlign w:val="center"/>
          </w:tcPr>
          <w:p>
            <w:pPr>
              <w:widowControl/>
              <w:jc w:val="left"/>
              <w:rPr>
                <w:sz w:val="18"/>
                <w:szCs w:val="18"/>
              </w:rPr>
            </w:pPr>
          </w:p>
        </w:tc>
        <w:tc>
          <w:tcPr>
            <w:tcW w:w="354" w:type="dxa"/>
            <w:vMerge w:val="restart"/>
            <w:vAlign w:val="center"/>
          </w:tcPr>
          <w:p>
            <w:pPr>
              <w:jc w:val="center"/>
              <w:rPr>
                <w:sz w:val="18"/>
                <w:szCs w:val="18"/>
              </w:rPr>
            </w:pPr>
            <w:r>
              <w:rPr>
                <w:sz w:val="18"/>
                <w:szCs w:val="18"/>
              </w:rPr>
              <w:t>其</w:t>
            </w:r>
          </w:p>
          <w:p>
            <w:pPr>
              <w:jc w:val="center"/>
              <w:rPr>
                <w:sz w:val="18"/>
                <w:szCs w:val="18"/>
              </w:rPr>
            </w:pPr>
            <w:r>
              <w:rPr>
                <w:sz w:val="18"/>
                <w:szCs w:val="18"/>
              </w:rPr>
              <w:t>它能力</w:t>
            </w:r>
          </w:p>
        </w:tc>
        <w:tc>
          <w:tcPr>
            <w:tcW w:w="1245" w:type="dxa"/>
            <w:vAlign w:val="center"/>
          </w:tcPr>
          <w:p>
            <w:pPr>
              <w:jc w:val="center"/>
              <w:rPr>
                <w:rFonts w:hint="eastAsia"/>
                <w:sz w:val="18"/>
                <w:szCs w:val="18"/>
              </w:rPr>
            </w:pPr>
            <w:r>
              <w:rPr>
                <w:rFonts w:hint="eastAsia"/>
                <w:sz w:val="18"/>
                <w:szCs w:val="18"/>
              </w:rPr>
              <w:t>发展能力</w:t>
            </w:r>
          </w:p>
        </w:tc>
        <w:tc>
          <w:tcPr>
            <w:tcW w:w="7321" w:type="dxa"/>
          </w:tcPr>
          <w:p>
            <w:pPr>
              <w:rPr>
                <w:sz w:val="18"/>
                <w:szCs w:val="18"/>
              </w:rPr>
            </w:pPr>
            <w:r>
              <w:rPr>
                <w:rFonts w:hint="eastAsia"/>
                <w:sz w:val="18"/>
                <w:szCs w:val="18"/>
              </w:rPr>
              <w:t>通过开设《管理学》、《经济学》、《会计学》、《财务管理》等课程，夯实学生的专业基础知识；通过开设《战略管理》、《市场营销》、《运作管理》、《投资学》等课程夯实学生的专业知识；通过学科前沿讲座、社会实践、毕业论文写作等课程和环节扩展学生的综合知识，基于基础知识、专业知识和综合知识的联动整合，提升学生的自我发展能力。</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trHeight w:val="587" w:hRule="atLeast"/>
        </w:trPr>
        <w:tc>
          <w:tcPr>
            <w:tcW w:w="368" w:type="dxa"/>
            <w:vMerge w:val="continue"/>
            <w:vAlign w:val="center"/>
          </w:tcPr>
          <w:p>
            <w:pPr>
              <w:widowControl/>
              <w:jc w:val="left"/>
              <w:rPr>
                <w:sz w:val="18"/>
                <w:szCs w:val="18"/>
              </w:rPr>
            </w:pPr>
          </w:p>
        </w:tc>
        <w:tc>
          <w:tcPr>
            <w:tcW w:w="354" w:type="dxa"/>
            <w:vMerge w:val="continue"/>
            <w:vAlign w:val="center"/>
          </w:tcPr>
          <w:p>
            <w:pPr>
              <w:widowControl/>
              <w:jc w:val="left"/>
              <w:rPr>
                <w:sz w:val="18"/>
                <w:szCs w:val="18"/>
              </w:rPr>
            </w:pPr>
          </w:p>
        </w:tc>
        <w:tc>
          <w:tcPr>
            <w:tcW w:w="1245" w:type="dxa"/>
            <w:vAlign w:val="center"/>
          </w:tcPr>
          <w:p>
            <w:pPr>
              <w:jc w:val="center"/>
              <w:rPr>
                <w:rFonts w:hint="eastAsia"/>
                <w:sz w:val="18"/>
                <w:szCs w:val="18"/>
              </w:rPr>
            </w:pPr>
            <w:r>
              <w:rPr>
                <w:rFonts w:hint="eastAsia"/>
                <w:sz w:val="18"/>
                <w:szCs w:val="18"/>
              </w:rPr>
              <w:t>应岗能力</w:t>
            </w:r>
          </w:p>
        </w:tc>
        <w:tc>
          <w:tcPr>
            <w:tcW w:w="7321" w:type="dxa"/>
          </w:tcPr>
          <w:p>
            <w:pPr>
              <w:rPr>
                <w:sz w:val="18"/>
                <w:szCs w:val="18"/>
              </w:rPr>
            </w:pPr>
            <w:r>
              <w:rPr>
                <w:sz w:val="18"/>
                <w:szCs w:val="18"/>
              </w:rPr>
              <w:t>通过考取</w:t>
            </w:r>
            <w:r>
              <w:rPr>
                <w:rFonts w:hint="eastAsia"/>
                <w:sz w:val="18"/>
                <w:szCs w:val="18"/>
              </w:rPr>
              <w:t>CPA、CFA、人力资源管理师、助理会计师、证券从业资格、期货从业资格</w:t>
            </w:r>
            <w:r>
              <w:rPr>
                <w:sz w:val="18"/>
                <w:szCs w:val="18"/>
              </w:rPr>
              <w:t>等证书，拓宽就业渠道提高应岗能力，</w:t>
            </w:r>
            <w:r>
              <w:rPr>
                <w:rFonts w:hint="eastAsia"/>
                <w:sz w:val="18"/>
                <w:szCs w:val="18"/>
              </w:rPr>
              <w:t>通过梳理工商管理人才的岗位胜任力结构，针对性的开设相关课程，进行教学改革，以素质能力为导向，全面提升学生的应岗能力</w:t>
            </w:r>
            <w:r>
              <w:rPr>
                <w:sz w:val="18"/>
                <w:szCs w:val="18"/>
              </w:rPr>
              <w:t>。</w:t>
            </w:r>
          </w:p>
        </w:tc>
      </w:tr>
    </w:tbl>
    <w:p>
      <w:pPr>
        <w:spacing w:line="300" w:lineRule="auto"/>
        <w:ind w:firstLine="367" w:firstLineChars="175"/>
        <w:rPr>
          <w:rFonts w:hint="eastAsia" w:ascii="宋体" w:hAnsi="宋体"/>
          <w:szCs w:val="21"/>
        </w:rPr>
      </w:pPr>
    </w:p>
    <w:p>
      <w:pPr>
        <w:spacing w:before="156" w:beforeLines="50" w:after="156" w:afterLines="50" w:line="300" w:lineRule="auto"/>
        <w:rPr>
          <w:rFonts w:hAnsi="宋体" w:cs="宋体"/>
          <w:szCs w:val="21"/>
        </w:rPr>
      </w:pPr>
      <w:r>
        <w:rPr>
          <w:rFonts w:hint="eastAsia" w:ascii="黑体" w:hAnsi="宋体" w:eastAsia="黑体"/>
          <w:b/>
          <w:bCs/>
          <w:szCs w:val="21"/>
        </w:rPr>
        <w:t>三、主要课程</w:t>
      </w:r>
      <w:r>
        <w:rPr>
          <w:rFonts w:hint="eastAsia" w:hAnsi="宋体" w:cs="宋体"/>
          <w:szCs w:val="21"/>
        </w:rPr>
        <w:t>（用*标注核心课程）</w:t>
      </w:r>
    </w:p>
    <w:p>
      <w:pPr>
        <w:spacing w:line="300" w:lineRule="auto"/>
        <w:rPr>
          <w:rFonts w:hint="eastAsia" w:ascii="宋体" w:hAnsi="宋体"/>
          <w:bCs/>
          <w:szCs w:val="21"/>
        </w:rPr>
      </w:pPr>
      <w:r>
        <w:rPr>
          <w:rFonts w:hint="eastAsia" w:ascii="宋体" w:hAnsi="宋体"/>
          <w:bCs/>
          <w:szCs w:val="21"/>
        </w:rPr>
        <w:t>管理学*、</w:t>
      </w:r>
      <w:r>
        <w:rPr>
          <w:rFonts w:hint="eastAsia" w:ascii="宋体" w:hAnsi="宋体"/>
          <w:szCs w:val="21"/>
        </w:rPr>
        <w:t>企业战略管理*、投资学*、市场营销</w:t>
      </w:r>
      <w:r>
        <w:rPr>
          <w:rFonts w:hint="eastAsia" w:hAnsi="宋体" w:cs="宋体"/>
          <w:szCs w:val="21"/>
        </w:rPr>
        <w:t>*</w:t>
      </w:r>
      <w:r>
        <w:rPr>
          <w:rFonts w:hint="eastAsia" w:ascii="宋体" w:hAnsi="宋体"/>
          <w:szCs w:val="21"/>
        </w:rPr>
        <w:t>、运作管理*、人力资源管理概论</w:t>
      </w:r>
    </w:p>
    <w:p>
      <w:pPr>
        <w:spacing w:before="156" w:beforeLines="50" w:after="156" w:afterLines="50" w:line="300" w:lineRule="auto"/>
        <w:rPr>
          <w:rFonts w:ascii="黑体" w:hAnsi="宋体" w:eastAsia="黑体"/>
          <w:b/>
          <w:bCs/>
          <w:szCs w:val="21"/>
        </w:rPr>
      </w:pPr>
      <w:r>
        <w:rPr>
          <w:rFonts w:hint="eastAsia" w:ascii="黑体" w:hAnsi="宋体" w:eastAsia="黑体"/>
          <w:b/>
          <w:bCs/>
          <w:szCs w:val="21"/>
        </w:rPr>
        <w:t>四、教学特色课程</w:t>
      </w:r>
      <w:bookmarkStart w:id="0" w:name="_GoBack"/>
      <w:bookmarkEnd w:id="0"/>
    </w:p>
    <w:p>
      <w:pPr>
        <w:spacing w:before="156" w:beforeLines="50" w:after="156" w:afterLines="50" w:line="300" w:lineRule="auto"/>
        <w:rPr>
          <w:rFonts w:hint="eastAsia" w:ascii="宋体" w:hAnsi="宋体"/>
          <w:bCs/>
          <w:szCs w:val="21"/>
        </w:rPr>
      </w:pPr>
      <w:r>
        <w:rPr>
          <w:rFonts w:hint="eastAsia" w:ascii="宋体" w:hAnsi="宋体"/>
          <w:bCs/>
          <w:szCs w:val="21"/>
        </w:rPr>
        <w:t>管理学（翻转课堂）、投资学（侧重实战）、市场调查与预测（侧重实战）、人力资源测评与招聘（侧重实战）、跨国公司经营与管理（双语）</w:t>
      </w:r>
    </w:p>
    <w:p>
      <w:pPr>
        <w:spacing w:before="156" w:beforeLines="50" w:after="156" w:afterLines="50" w:line="300" w:lineRule="auto"/>
        <w:rPr>
          <w:rFonts w:ascii="黑体" w:hAnsi="宋体" w:eastAsia="黑体"/>
          <w:b/>
          <w:bCs/>
          <w:szCs w:val="21"/>
        </w:rPr>
      </w:pPr>
      <w:r>
        <w:rPr>
          <w:rFonts w:hint="eastAsia" w:ascii="黑体" w:hAnsi="宋体" w:eastAsia="黑体"/>
          <w:b/>
          <w:bCs/>
          <w:szCs w:val="21"/>
        </w:rPr>
        <w:t>五、主要实践教学环节</w:t>
      </w:r>
    </w:p>
    <w:p>
      <w:pPr>
        <w:spacing w:line="300" w:lineRule="auto"/>
        <w:ind w:firstLine="420" w:firstLineChars="200"/>
        <w:rPr>
          <w:rFonts w:hint="eastAsia" w:ascii="宋体" w:hAnsi="宋体"/>
          <w:szCs w:val="21"/>
        </w:rPr>
      </w:pPr>
      <w:r>
        <w:rPr>
          <w:rFonts w:hint="eastAsia" w:ascii="宋体" w:hAnsi="宋体"/>
          <w:szCs w:val="21"/>
        </w:rPr>
        <w:t>企业认识与组织设计课程设计、企业沙盘模拟经营实训、企业战略管理课程设计、创业管理课程设计、绩效考核与薪酬管理课程设计、工商管理综合实习、毕业论文</w:t>
      </w:r>
    </w:p>
    <w:p>
      <w:pPr>
        <w:spacing w:before="156" w:beforeLines="50" w:after="156" w:afterLines="50" w:line="300" w:lineRule="auto"/>
        <w:rPr>
          <w:rFonts w:ascii="黑体" w:hAnsi="宋体" w:eastAsia="黑体"/>
          <w:b/>
          <w:bCs/>
          <w:szCs w:val="21"/>
        </w:rPr>
      </w:pPr>
      <w:r>
        <w:rPr>
          <w:rFonts w:hint="eastAsia" w:ascii="黑体" w:hAnsi="宋体" w:eastAsia="黑体"/>
          <w:b/>
          <w:bCs/>
          <w:szCs w:val="21"/>
        </w:rPr>
        <w:t>六、学制学位</w:t>
      </w:r>
    </w:p>
    <w:p>
      <w:pPr>
        <w:spacing w:before="156" w:beforeLines="50" w:after="156" w:afterLines="50" w:line="300" w:lineRule="auto"/>
        <w:ind w:firstLine="420" w:firstLineChars="200"/>
        <w:rPr>
          <w:rFonts w:ascii="宋体" w:hAnsi="宋体"/>
          <w:szCs w:val="21"/>
        </w:rPr>
      </w:pPr>
      <w:r>
        <w:rPr>
          <w:rFonts w:hint="eastAsia" w:ascii="宋体" w:hAnsi="宋体"/>
          <w:szCs w:val="21"/>
        </w:rPr>
        <w:t>实行弹性学制，基本学制四年，弹性学制三至六年。授予管理学学士学位。</w:t>
      </w:r>
    </w:p>
    <w:p>
      <w:pPr>
        <w:spacing w:before="156" w:beforeLines="50" w:after="156" w:afterLines="50" w:line="300" w:lineRule="auto"/>
        <w:rPr>
          <w:rFonts w:ascii="黑体" w:hAnsi="宋体" w:eastAsia="黑体"/>
          <w:b/>
          <w:bCs/>
          <w:szCs w:val="21"/>
        </w:rPr>
      </w:pPr>
      <w:r>
        <w:rPr>
          <w:rFonts w:hint="eastAsia" w:ascii="黑体" w:hAnsi="宋体" w:eastAsia="黑体"/>
          <w:b/>
          <w:bCs/>
          <w:szCs w:val="21"/>
        </w:rPr>
        <w:t>七、毕业总学分要求</w:t>
      </w:r>
    </w:p>
    <w:p>
      <w:pPr>
        <w:spacing w:line="360" w:lineRule="auto"/>
        <w:ind w:firstLine="420" w:firstLineChars="200"/>
        <w:rPr>
          <w:rFonts w:ascii="宋体" w:hAnsi="宋体"/>
          <w:szCs w:val="21"/>
        </w:rPr>
      </w:pPr>
      <w:r>
        <w:rPr>
          <w:rFonts w:hint="eastAsia" w:ascii="宋体" w:hAnsi="宋体"/>
          <w:color w:val="000000" w:themeColor="text1"/>
          <w:szCs w:val="21"/>
          <w14:textFill>
            <w14:solidFill>
              <w14:schemeClr w14:val="tx1"/>
            </w14:solidFill>
          </w14:textFill>
        </w:rPr>
        <w:t>最低必须获得159.5学分，其中理论教学不低于126学分，实践环节不低于33.5学分，</w:t>
      </w:r>
      <w:r>
        <w:rPr>
          <w:rFonts w:hint="eastAsia" w:ascii="宋体" w:hAnsi="宋体"/>
          <w:szCs w:val="21"/>
        </w:rPr>
        <w:t>通过毕业设计（论文）。</w:t>
      </w:r>
    </w:p>
    <w:p>
      <w:pPr>
        <w:spacing w:line="300" w:lineRule="auto"/>
        <w:ind w:firstLine="420" w:firstLineChars="200"/>
        <w:rPr>
          <w:rFonts w:ascii="宋体" w:hAnsi="宋体"/>
          <w:szCs w:val="21"/>
        </w:rPr>
      </w:pPr>
    </w:p>
    <w:p>
      <w:pPr>
        <w:spacing w:line="360" w:lineRule="auto"/>
        <w:ind w:firstLine="420" w:firstLineChars="200"/>
        <w:rPr>
          <w:rFonts w:ascii="宋体" w:hAnsi="宋体"/>
          <w:szCs w:val="21"/>
        </w:rPr>
      </w:pPr>
    </w:p>
    <w:sectPr>
      <w:headerReference r:id="rId3" w:type="default"/>
      <w:pgSz w:w="11906" w:h="16838"/>
      <w:pgMar w:top="1418" w:right="1797" w:bottom="1418"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等线 Light">
    <w:altName w:val="宋体"/>
    <w:panose1 w:val="00000000000000000000"/>
    <w:charset w:val="86"/>
    <w:family w:val="auto"/>
    <w:pitch w:val="default"/>
    <w:sig w:usb0="00000000" w:usb1="00000000" w:usb2="00000016" w:usb3="00000000" w:csb0="0004000F" w:csb1="00000000"/>
  </w:font>
  <w:font w:name="等线">
    <w:altName w:val="宋体"/>
    <w:panose1 w:val="00000000000000000000"/>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231E"/>
    <w:rsid w:val="00006940"/>
    <w:rsid w:val="00006F12"/>
    <w:rsid w:val="000242EF"/>
    <w:rsid w:val="0006709F"/>
    <w:rsid w:val="000A3B6E"/>
    <w:rsid w:val="000A4E4B"/>
    <w:rsid w:val="000D4DA2"/>
    <w:rsid w:val="00133A55"/>
    <w:rsid w:val="001A54BE"/>
    <w:rsid w:val="001C1A21"/>
    <w:rsid w:val="001C231E"/>
    <w:rsid w:val="001D3BFD"/>
    <w:rsid w:val="001E6680"/>
    <w:rsid w:val="00204699"/>
    <w:rsid w:val="002124C9"/>
    <w:rsid w:val="00260F7A"/>
    <w:rsid w:val="00277159"/>
    <w:rsid w:val="002C4EDA"/>
    <w:rsid w:val="002D289D"/>
    <w:rsid w:val="002E0C03"/>
    <w:rsid w:val="00340753"/>
    <w:rsid w:val="003A6D7E"/>
    <w:rsid w:val="003C255B"/>
    <w:rsid w:val="003F5C1D"/>
    <w:rsid w:val="00423517"/>
    <w:rsid w:val="00427169"/>
    <w:rsid w:val="004427A9"/>
    <w:rsid w:val="004745D4"/>
    <w:rsid w:val="004A26F8"/>
    <w:rsid w:val="004A27F0"/>
    <w:rsid w:val="004B6629"/>
    <w:rsid w:val="004C0865"/>
    <w:rsid w:val="004C1E3C"/>
    <w:rsid w:val="004C5AA2"/>
    <w:rsid w:val="005078BA"/>
    <w:rsid w:val="00543143"/>
    <w:rsid w:val="00581BF3"/>
    <w:rsid w:val="005D4FDD"/>
    <w:rsid w:val="00621125"/>
    <w:rsid w:val="00630230"/>
    <w:rsid w:val="00641E6D"/>
    <w:rsid w:val="00677D84"/>
    <w:rsid w:val="006D1008"/>
    <w:rsid w:val="007055B8"/>
    <w:rsid w:val="007524EB"/>
    <w:rsid w:val="00762BB8"/>
    <w:rsid w:val="00782251"/>
    <w:rsid w:val="007B5030"/>
    <w:rsid w:val="007E1A35"/>
    <w:rsid w:val="007F18AC"/>
    <w:rsid w:val="008048E4"/>
    <w:rsid w:val="00812898"/>
    <w:rsid w:val="00826B12"/>
    <w:rsid w:val="008311E8"/>
    <w:rsid w:val="008701E8"/>
    <w:rsid w:val="008B3B21"/>
    <w:rsid w:val="008C2AE0"/>
    <w:rsid w:val="008D5B78"/>
    <w:rsid w:val="008E2496"/>
    <w:rsid w:val="00911D53"/>
    <w:rsid w:val="00931D08"/>
    <w:rsid w:val="0093462A"/>
    <w:rsid w:val="009968F1"/>
    <w:rsid w:val="009A7FE2"/>
    <w:rsid w:val="009F1CBF"/>
    <w:rsid w:val="00A013ED"/>
    <w:rsid w:val="00A1008A"/>
    <w:rsid w:val="00A473AA"/>
    <w:rsid w:val="00AA2C16"/>
    <w:rsid w:val="00AC4952"/>
    <w:rsid w:val="00AD50F4"/>
    <w:rsid w:val="00AE5427"/>
    <w:rsid w:val="00B102EA"/>
    <w:rsid w:val="00B133B8"/>
    <w:rsid w:val="00B23571"/>
    <w:rsid w:val="00B23FAC"/>
    <w:rsid w:val="00B30287"/>
    <w:rsid w:val="00B50C14"/>
    <w:rsid w:val="00B8205C"/>
    <w:rsid w:val="00B9631F"/>
    <w:rsid w:val="00BF7406"/>
    <w:rsid w:val="00C24088"/>
    <w:rsid w:val="00C476E2"/>
    <w:rsid w:val="00C64921"/>
    <w:rsid w:val="00C81745"/>
    <w:rsid w:val="00C95D6F"/>
    <w:rsid w:val="00CC38E8"/>
    <w:rsid w:val="00D00643"/>
    <w:rsid w:val="00D0217F"/>
    <w:rsid w:val="00DC1A18"/>
    <w:rsid w:val="00DC5A43"/>
    <w:rsid w:val="00E0214E"/>
    <w:rsid w:val="00E115F2"/>
    <w:rsid w:val="00E212AE"/>
    <w:rsid w:val="00E55F72"/>
    <w:rsid w:val="00E60454"/>
    <w:rsid w:val="00E867E7"/>
    <w:rsid w:val="00E95F85"/>
    <w:rsid w:val="00EB7E9E"/>
    <w:rsid w:val="00EC1067"/>
    <w:rsid w:val="00EE486A"/>
    <w:rsid w:val="00FB62B9"/>
    <w:rsid w:val="01655E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character" w:default="1" w:styleId="8">
    <w:name w:val="Default Paragraph Font"/>
    <w:unhideWhenUsed/>
    <w:uiPriority w:val="1"/>
  </w:style>
  <w:style w:type="table" w:default="1" w:styleId="9">
    <w:name w:val="Normal Table"/>
    <w:unhideWhenUsed/>
    <w:uiPriority w:val="99"/>
    <w:tblPr>
      <w:tblLayout w:type="fixed"/>
      <w:tblCellMar>
        <w:top w:w="0" w:type="dxa"/>
        <w:left w:w="108" w:type="dxa"/>
        <w:bottom w:w="0" w:type="dxa"/>
        <w:right w:w="108" w:type="dxa"/>
      </w:tblCellMar>
    </w:tblPr>
  </w:style>
  <w:style w:type="paragraph" w:styleId="3">
    <w:name w:val="Body Text Indent"/>
    <w:basedOn w:val="1"/>
    <w:uiPriority w:val="0"/>
    <w:pPr>
      <w:ind w:firstLine="480" w:firstLineChars="200"/>
    </w:pPr>
    <w:rPr>
      <w:sz w:val="24"/>
    </w:rPr>
  </w:style>
  <w:style w:type="paragraph" w:styleId="4">
    <w:name w:val="Body Text Indent 2"/>
    <w:basedOn w:val="1"/>
    <w:link w:val="10"/>
    <w:uiPriority w:val="0"/>
    <w:pPr>
      <w:spacing w:after="120" w:line="480" w:lineRule="auto"/>
      <w:ind w:left="420" w:leftChars="200"/>
    </w:pPr>
  </w:style>
  <w:style w:type="paragraph" w:styleId="5">
    <w:name w:val="Balloon Text"/>
    <w:basedOn w:val="1"/>
    <w:semiHidden/>
    <w:uiPriority w:val="0"/>
    <w:rPr>
      <w:sz w:val="18"/>
      <w:szCs w:val="18"/>
    </w:rPr>
  </w:style>
  <w:style w:type="paragraph" w:styleId="6">
    <w:name w:val="footer"/>
    <w:basedOn w:val="1"/>
    <w:uiPriority w:val="0"/>
    <w:pPr>
      <w:tabs>
        <w:tab w:val="center" w:pos="4153"/>
        <w:tab w:val="right" w:pos="8306"/>
      </w:tabs>
      <w:snapToGrid w:val="0"/>
      <w:jc w:val="left"/>
    </w:pPr>
    <w:rPr>
      <w:sz w:val="18"/>
      <w:szCs w:val="18"/>
    </w:rPr>
  </w:style>
  <w:style w:type="paragraph" w:styleId="7">
    <w:name w:val="header"/>
    <w:basedOn w:val="1"/>
    <w:uiPriority w:val="0"/>
    <w:pPr>
      <w:pBdr>
        <w:bottom w:val="single" w:color="auto" w:sz="6" w:space="1"/>
      </w:pBdr>
      <w:tabs>
        <w:tab w:val="center" w:pos="4153"/>
        <w:tab w:val="right" w:pos="8306"/>
      </w:tabs>
      <w:snapToGrid w:val="0"/>
      <w:jc w:val="center"/>
    </w:pPr>
    <w:rPr>
      <w:sz w:val="18"/>
      <w:szCs w:val="18"/>
    </w:rPr>
  </w:style>
  <w:style w:type="character" w:customStyle="1" w:styleId="10">
    <w:name w:val="正文文本缩进 2 Char"/>
    <w:link w:val="4"/>
    <w:uiPriority w:val="0"/>
    <w:rPr>
      <w:kern w:val="2"/>
      <w:sz w:val="21"/>
      <w:szCs w:val="24"/>
    </w:rPr>
  </w:style>
  <w:style w:type="character" w:customStyle="1" w:styleId="11">
    <w:name w:val="正文文本缩进 2 Char1"/>
    <w:basedOn w:val="8"/>
    <w:uiPriority w:val="0"/>
    <w:rPr>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341</Words>
  <Characters>1945</Characters>
  <Lines>16</Lines>
  <Paragraphs>4</Paragraphs>
  <TotalTime>0</TotalTime>
  <ScaleCrop>false</ScaleCrop>
  <LinksUpToDate>false</LinksUpToDate>
  <CharactersWithSpaces>2282</CharactersWithSpaces>
  <Application>WPS Office_10.1.0.6759_F1E327BC-269C-435d-A152-05C5408002CA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2018-08-08T15:53:00Z</dcterms:created>
  <dc:creator>zhu</dc:creator>
  <cp:lastModifiedBy>Administrator</cp:lastModifiedBy>
  <cp:lastPrinted>2016-05-19T07:11:00Z</cp:lastPrinted>
  <dcterms:modified xsi:type="dcterms:W3CDTF">2018-08-24T03:26:19Z</dcterms:modified>
  <dc:title>国际经济与贸易专业教学计划</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2052-10.1.0.6759</vt:lpwstr>
  </property>
</Properties>
</file>