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before="156" w:beforeLines="50" w:after="312" w:afterLines="100"/>
        <w:jc w:val="center"/>
        <w:rPr>
          <w:rFonts w:ascii="方正小标宋_GBK" w:eastAsia="方正小标宋_GBK"/>
          <w:b/>
          <w:bCs/>
          <w:sz w:val="36"/>
          <w:szCs w:val="36"/>
        </w:rPr>
      </w:pPr>
      <w:bookmarkStart w:id="0" w:name="_Toc93718096"/>
      <w:r>
        <w:rPr>
          <w:rFonts w:hint="eastAsia" w:ascii="方正小标宋_GBK" w:eastAsia="方正小标宋_GBK" w:cs="方正小标宋_GBK"/>
          <w:b/>
          <w:bCs/>
          <w:sz w:val="36"/>
          <w:szCs w:val="36"/>
        </w:rPr>
        <w:t>旅游管理专业</w:t>
      </w:r>
      <w:bookmarkEnd w:id="0"/>
      <w:r>
        <w:rPr>
          <w:rFonts w:hint="eastAsia" w:ascii="方正小标宋_GBK" w:eastAsia="方正小标宋_GBK" w:cs="方正小标宋_GBK"/>
          <w:b/>
          <w:bCs/>
          <w:sz w:val="36"/>
          <w:szCs w:val="36"/>
        </w:rPr>
        <w:t>（外语复合）培养计划</w:t>
      </w:r>
    </w:p>
    <w:p>
      <w:pPr>
        <w:spacing w:before="156" w:beforeLines="50" w:line="360" w:lineRule="auto"/>
        <w:rPr>
          <w:rFonts w:ascii="黑体" w:hAnsi="黑体" w:eastAsia="黑体"/>
          <w:b/>
          <w:bCs/>
        </w:rPr>
      </w:pPr>
      <w:r>
        <w:rPr>
          <w:rFonts w:hint="eastAsia" w:ascii="黑体" w:hAnsi="黑体" w:eastAsia="黑体" w:cs="黑体"/>
          <w:b/>
          <w:bCs/>
        </w:rPr>
        <w:t>一、培养目标</w:t>
      </w:r>
    </w:p>
    <w:p>
      <w:pPr>
        <w:spacing w:line="360" w:lineRule="auto"/>
        <w:ind w:firstLine="420" w:firstLineChars="200"/>
        <w:rPr>
          <w:rFonts w:hAnsi="宋体"/>
        </w:rPr>
      </w:pPr>
      <w:r>
        <w:rPr>
          <w:rFonts w:hint="eastAsia" w:hAnsi="宋体" w:cs="宋体"/>
        </w:rPr>
        <w:t>本专业为适应浙江以及长三角地区旅游经济发展需要，依托浙江省旅游龙头企业“浙江省中国旅行社集团有限公司”等省内多家大型旅游企业的实践教学平台，以行业企业的最新需求和学生就业需要为根本依据、动力和出发点，通过创新的“校企联盟互动式”培养模式，“零距离”培养掌握经济与管理的基本理论、旅游及休闲娱乐管理的专业知识和服务技能、良好的职业道德和意志品质、具有较强的市场观念和独立分析解决问题的能力、良好的创新能力和团队合作能力，</w:t>
      </w:r>
      <w:r>
        <w:rPr>
          <w:rFonts w:hint="eastAsia" w:hAnsi="宋体" w:cs="宋体"/>
          <w:b/>
          <w:bCs/>
          <w:u w:val="single"/>
        </w:rPr>
        <w:t>出色的外语口、听力、翻译等应用能力</w:t>
      </w:r>
      <w:r>
        <w:rPr>
          <w:rFonts w:hint="eastAsia" w:hAnsi="宋体" w:cs="宋体"/>
        </w:rPr>
        <w:t>，能在政府旅游管理部门或其它部门从事行政管理工作，或能在现代旅游业、服务业及其相关企业从事经营管理工作，或能在有关教育机构从事教学工作的高素质应用型、</w:t>
      </w:r>
      <w:r>
        <w:rPr>
          <w:rFonts w:hint="eastAsia" w:hAnsi="宋体" w:cs="宋体"/>
          <w:b/>
          <w:bCs/>
          <w:u w:val="single"/>
        </w:rPr>
        <w:t>外语复合型</w:t>
      </w:r>
      <w:r>
        <w:rPr>
          <w:rFonts w:hint="eastAsia" w:hAnsi="宋体" w:cs="宋体"/>
        </w:rPr>
        <w:t>旅游创新人才。要求学生积极考取旅游行业相关从业资格证（如导游（领队）证、旅行社计调证、旅行社总经理资格证、旅游咨询师证、其他旅游行业上岗证、</w:t>
      </w:r>
      <w:r>
        <w:rPr>
          <w:rFonts w:hint="eastAsia" w:hAnsi="宋体" w:cs="宋体"/>
          <w:b/>
          <w:bCs/>
          <w:u w:val="single"/>
        </w:rPr>
        <w:t>英语四、六级证书</w:t>
      </w:r>
      <w:r>
        <w:rPr>
          <w:rFonts w:hint="eastAsia" w:hAnsi="宋体" w:cs="宋体"/>
        </w:rPr>
        <w:t>、计算机二级证书等）。</w:t>
      </w:r>
    </w:p>
    <w:p>
      <w:pPr>
        <w:spacing w:before="156" w:beforeLines="50" w:line="360" w:lineRule="auto"/>
        <w:rPr>
          <w:rFonts w:ascii="黑体" w:hAnsi="黑体" w:eastAsia="黑体"/>
          <w:b/>
          <w:bCs/>
        </w:rPr>
      </w:pPr>
      <w:r>
        <w:rPr>
          <w:rFonts w:hint="eastAsia" w:ascii="黑体" w:hAnsi="黑体" w:eastAsia="黑体" w:cs="黑体"/>
          <w:b/>
          <w:bCs/>
        </w:rPr>
        <w:t>二、培养基本要求</w:t>
      </w:r>
    </w:p>
    <w:p>
      <w:pPr>
        <w:spacing w:line="360" w:lineRule="auto"/>
        <w:ind w:firstLine="413" w:firstLineChars="196"/>
        <w:outlineLvl w:val="0"/>
        <w:rPr>
          <w:b/>
          <w:bCs/>
          <w:kern w:val="0"/>
        </w:rPr>
      </w:pPr>
      <w:r>
        <w:rPr>
          <w:rFonts w:hint="eastAsia" w:hAnsi="宋体" w:cs="宋体"/>
          <w:b/>
          <w:bCs/>
          <w:kern w:val="0"/>
        </w:rPr>
        <w:t>（一）素质要求</w:t>
      </w:r>
    </w:p>
    <w:p>
      <w:pPr>
        <w:spacing w:line="360" w:lineRule="auto"/>
        <w:ind w:firstLine="420" w:firstLineChars="200"/>
        <w:rPr>
          <w:kern w:val="0"/>
        </w:rPr>
      </w:pPr>
      <w:r>
        <w:rPr>
          <w:rFonts w:hint="eastAsia" w:hAnsi="宋体" w:cs="宋体"/>
        </w:rPr>
        <w:t>坚持四项基本原则，热爱祖国、热爱中国共产党，努力学习马列主义、毛泽东思想、邓小平理论和</w:t>
      </w:r>
      <w:r>
        <w:t>“</w:t>
      </w:r>
      <w:r>
        <w:rPr>
          <w:rFonts w:hint="eastAsia" w:hAnsi="宋体" w:cs="宋体"/>
        </w:rPr>
        <w:t>三个代表</w:t>
      </w:r>
      <w:r>
        <w:t>”</w:t>
      </w:r>
      <w:r>
        <w:rPr>
          <w:rFonts w:hint="eastAsia" w:hAnsi="宋体" w:cs="宋体"/>
        </w:rPr>
        <w:t>重要思想；树立正确的世界观、人生观、价值观，具有良好的道德品质和文明行为习惯。身体健康，具有良好的个性品质和较好的心理调适能力，能够适应旅游或休闲娱乐产业发展的需求。社会责任感强，具有良好的社会和职业道德；爱岗敬业，具有现代服务与管理意识和良好的职业素质。</w:t>
      </w:r>
    </w:p>
    <w:p>
      <w:pPr>
        <w:spacing w:line="360" w:lineRule="auto"/>
        <w:ind w:firstLine="422" w:firstLineChars="200"/>
        <w:rPr>
          <w:b/>
          <w:bCs/>
          <w:kern w:val="0"/>
        </w:rPr>
      </w:pPr>
      <w:r>
        <w:rPr>
          <w:rFonts w:hint="eastAsia" w:hAnsi="宋体" w:cs="宋体"/>
          <w:b/>
          <w:bCs/>
          <w:kern w:val="0"/>
        </w:rPr>
        <w:t>（二）知识结构要求</w:t>
      </w:r>
    </w:p>
    <w:p>
      <w:pPr>
        <w:widowControl/>
        <w:tabs>
          <w:tab w:val="left" w:pos="525"/>
        </w:tabs>
        <w:spacing w:line="360" w:lineRule="auto"/>
        <w:ind w:firstLine="420" w:firstLineChars="200"/>
        <w:jc w:val="left"/>
      </w:pPr>
      <w:r>
        <w:rPr>
          <w:rFonts w:hint="eastAsia" w:hAnsi="宋体" w:cs="宋体"/>
          <w:kern w:val="0"/>
        </w:rPr>
        <w:t>系统掌握管理与经济以及旅游管理学科的基本理论和基本知识；掌握有关旅游管理问题研究的定性和定量分析方法；熟悉我国旅游业及其相关行业发展的方针、政策和法规；了解旅游业及其相关行业的发展动态；掌握旅游企业实际运作流程及操作实务；</w:t>
      </w:r>
      <w:r>
        <w:rPr>
          <w:rFonts w:hint="eastAsia" w:hAnsi="宋体" w:cs="宋体"/>
          <w:b/>
          <w:bCs/>
          <w:kern w:val="0"/>
          <w:u w:val="single"/>
        </w:rPr>
        <w:t>熟练掌握旅游外语应用技巧</w:t>
      </w:r>
      <w:r>
        <w:rPr>
          <w:rFonts w:hint="eastAsia" w:hAnsi="宋体" w:cs="宋体"/>
          <w:kern w:val="0"/>
        </w:rPr>
        <w:t>、掌握文献检索、资料查询的基本方法。</w:t>
      </w:r>
    </w:p>
    <w:p>
      <w:pPr>
        <w:spacing w:line="360" w:lineRule="auto"/>
        <w:ind w:firstLine="517" w:firstLineChars="245"/>
        <w:rPr>
          <w:b/>
          <w:bCs/>
          <w:kern w:val="0"/>
        </w:rPr>
      </w:pPr>
      <w:r>
        <w:rPr>
          <w:b/>
          <w:bCs/>
          <w:kern w:val="0"/>
        </w:rPr>
        <w:t>(</w:t>
      </w:r>
      <w:r>
        <w:rPr>
          <w:rFonts w:hint="eastAsia" w:hAnsi="宋体" w:cs="宋体"/>
          <w:b/>
          <w:bCs/>
          <w:kern w:val="0"/>
        </w:rPr>
        <w:t>三</w:t>
      </w:r>
      <w:r>
        <w:rPr>
          <w:b/>
          <w:bCs/>
          <w:kern w:val="0"/>
        </w:rPr>
        <w:t xml:space="preserve">) </w:t>
      </w:r>
      <w:r>
        <w:rPr>
          <w:rFonts w:hint="eastAsia" w:hAnsi="宋体" w:cs="宋体"/>
          <w:b/>
          <w:bCs/>
          <w:kern w:val="0"/>
        </w:rPr>
        <w:t>能力结构要求</w:t>
      </w:r>
    </w:p>
    <w:p>
      <w:pPr>
        <w:spacing w:line="360" w:lineRule="auto"/>
        <w:ind w:firstLine="422" w:firstLineChars="200"/>
        <w:rPr>
          <w:kern w:val="0"/>
        </w:rPr>
      </w:pPr>
      <w:r>
        <w:rPr>
          <w:rFonts w:hint="eastAsia" w:hAnsi="宋体" w:cs="宋体"/>
          <w:b/>
          <w:bCs/>
        </w:rPr>
        <w:t>基本能力：</w:t>
      </w:r>
      <w:r>
        <w:rPr>
          <w:rFonts w:hint="eastAsia" w:hAnsi="宋体" w:cs="宋体"/>
          <w:kern w:val="0"/>
        </w:rPr>
        <w:t>学习能力、市场调研能力、</w:t>
      </w:r>
      <w:r>
        <w:rPr>
          <w:rFonts w:hint="eastAsia" w:hAnsi="宋体" w:cs="宋体"/>
        </w:rPr>
        <w:t>实践动手能力、</w:t>
      </w:r>
      <w:r>
        <w:rPr>
          <w:rFonts w:hint="eastAsia" w:hAnsi="宋体" w:cs="宋体"/>
          <w:kern w:val="0"/>
        </w:rPr>
        <w:t>分析解决问题能力、独立思考能力、</w:t>
      </w:r>
      <w:r>
        <w:rPr>
          <w:rFonts w:hint="eastAsia" w:hAnsi="宋体" w:cs="宋体"/>
        </w:rPr>
        <w:t>团队协作能力、创新精神、创造能力</w:t>
      </w:r>
      <w:r>
        <w:rPr>
          <w:rFonts w:hint="eastAsia" w:hAnsi="宋体" w:cs="宋体"/>
          <w:kern w:val="0"/>
        </w:rPr>
        <w:t>、自我发展能力。</w:t>
      </w:r>
    </w:p>
    <w:p>
      <w:pPr>
        <w:spacing w:line="360" w:lineRule="auto"/>
        <w:ind w:firstLine="422" w:firstLineChars="200"/>
        <w:rPr>
          <w:rFonts w:hAnsi="宋体"/>
          <w:kern w:val="0"/>
        </w:rPr>
      </w:pPr>
      <w:r>
        <w:rPr>
          <w:rFonts w:hint="eastAsia" w:hAnsi="宋体" w:cs="宋体"/>
          <w:b/>
          <w:bCs/>
        </w:rPr>
        <w:t>外显能力：</w:t>
      </w:r>
      <w:r>
        <w:rPr>
          <w:rFonts w:hint="eastAsia" w:hAnsi="宋体" w:cs="宋体"/>
          <w:b/>
          <w:bCs/>
          <w:u w:val="single"/>
        </w:rPr>
        <w:t>出色的</w:t>
      </w:r>
      <w:r>
        <w:rPr>
          <w:rFonts w:hint="eastAsia" w:hAnsi="宋体" w:cs="宋体"/>
          <w:b/>
          <w:bCs/>
          <w:kern w:val="0"/>
          <w:u w:val="single"/>
        </w:rPr>
        <w:t>外语（含第二外语）能力</w:t>
      </w:r>
      <w:r>
        <w:rPr>
          <w:rFonts w:hint="eastAsia" w:hAnsi="宋体" w:cs="宋体"/>
          <w:kern w:val="0"/>
        </w:rPr>
        <w:t>、沟通能力、社交能力、组织能力、领导能力、计算机应用能力、应用写作能力和文献检索能力。</w:t>
      </w:r>
    </w:p>
    <w:p>
      <w:pPr>
        <w:spacing w:line="360" w:lineRule="auto"/>
        <w:ind w:firstLine="422" w:firstLineChars="200"/>
        <w:rPr>
          <w:b/>
          <w:bCs/>
        </w:rPr>
      </w:pPr>
      <w:r>
        <w:rPr>
          <w:rFonts w:hint="eastAsia" w:hAnsi="宋体" w:cs="宋体"/>
          <w:b/>
          <w:bCs/>
        </w:rPr>
        <w:t>能力专长：</w:t>
      </w:r>
    </w:p>
    <w:p>
      <w:pPr>
        <w:spacing w:line="360" w:lineRule="auto"/>
        <w:ind w:firstLine="422" w:firstLineChars="200"/>
        <w:rPr>
          <w:rFonts w:hAnsi="宋体"/>
          <w:kern w:val="0"/>
        </w:rPr>
      </w:pPr>
      <w:r>
        <w:rPr>
          <w:rFonts w:hint="eastAsia" w:hAnsi="宋体" w:cs="宋体"/>
          <w:b/>
          <w:bCs/>
          <w:kern w:val="0"/>
          <w:u w:val="single"/>
        </w:rPr>
        <w:t>高级旅游外语口语、听力、翻译等应用能力</w:t>
      </w:r>
      <w:r>
        <w:rPr>
          <w:rFonts w:hint="eastAsia" w:hAnsi="宋体" w:cs="宋体"/>
          <w:kern w:val="0"/>
        </w:rPr>
        <w:t>、（涉外）导游与出境领队能力、公（商）务高端旅游产品定制及接待能力、旅行社计调操作业务能力、旅行社门店接待与管理能力、旅行社经营与管理能力、网络营销管理与策划能力等。</w:t>
      </w:r>
    </w:p>
    <w:p>
      <w:pPr>
        <w:spacing w:after="120" w:line="360" w:lineRule="exact"/>
        <w:ind w:left="420" w:leftChars="200" w:firstLine="413" w:firstLineChars="196"/>
        <w:jc w:val="center"/>
        <w:rPr>
          <w:rFonts w:ascii="宋体" w:cs="宋体"/>
          <w:b/>
          <w:bCs/>
        </w:rPr>
      </w:pPr>
      <w:r>
        <w:rPr>
          <w:rFonts w:hint="eastAsia" w:ascii="宋体" w:hAnsi="宋体" w:cs="宋体"/>
          <w:b/>
          <w:bCs/>
        </w:rPr>
        <w:t>表</w:t>
      </w:r>
      <w:r>
        <w:rPr>
          <w:rFonts w:ascii="宋体" w:hAnsi="宋体" w:cs="宋体"/>
          <w:b/>
          <w:bCs/>
        </w:rPr>
        <w:t>1</w:t>
      </w:r>
      <w:r>
        <w:rPr>
          <w:rFonts w:hint="eastAsia" w:ascii="宋体" w:hAnsi="宋体" w:cs="宋体"/>
          <w:b/>
          <w:bCs/>
        </w:rPr>
        <w:t>：素质结构及培养途径分解表</w:t>
      </w:r>
    </w:p>
    <w:tbl>
      <w:tblPr>
        <w:tblStyle w:val="16"/>
        <w:tblW w:w="9288" w:type="dxa"/>
        <w:tblInd w:w="-106"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386"/>
        <w:gridCol w:w="1079"/>
        <w:gridCol w:w="782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15" w:hRule="atLeast"/>
        </w:trPr>
        <w:tc>
          <w:tcPr>
            <w:tcW w:w="1465" w:type="dxa"/>
            <w:gridSpan w:val="2"/>
            <w:vAlign w:val="center"/>
          </w:tcPr>
          <w:p>
            <w:pPr>
              <w:jc w:val="center"/>
              <w:rPr>
                <w:b/>
                <w:bCs/>
                <w:sz w:val="18"/>
                <w:szCs w:val="18"/>
              </w:rPr>
            </w:pPr>
            <w:r>
              <w:rPr>
                <w:rFonts w:hint="eastAsia" w:cs="宋体"/>
                <w:b/>
                <w:bCs/>
                <w:sz w:val="18"/>
                <w:szCs w:val="18"/>
              </w:rPr>
              <w:t>素质名称</w:t>
            </w:r>
          </w:p>
        </w:tc>
        <w:tc>
          <w:tcPr>
            <w:tcW w:w="7823" w:type="dxa"/>
            <w:vAlign w:val="center"/>
          </w:tcPr>
          <w:p>
            <w:pPr>
              <w:jc w:val="center"/>
              <w:rPr>
                <w:b/>
                <w:bCs/>
                <w:sz w:val="18"/>
                <w:szCs w:val="18"/>
              </w:rPr>
            </w:pPr>
            <w:r>
              <w:rPr>
                <w:rFonts w:hint="eastAsia" w:cs="宋体"/>
                <w:b/>
                <w:bCs/>
                <w:sz w:val="18"/>
                <w:szCs w:val="18"/>
              </w:rPr>
              <w:t>培养途径</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24" w:hRule="atLeast"/>
        </w:trPr>
        <w:tc>
          <w:tcPr>
            <w:tcW w:w="1465" w:type="dxa"/>
            <w:gridSpan w:val="2"/>
            <w:vAlign w:val="center"/>
          </w:tcPr>
          <w:p>
            <w:pPr>
              <w:jc w:val="center"/>
              <w:rPr>
                <w:sz w:val="18"/>
                <w:szCs w:val="18"/>
              </w:rPr>
            </w:pPr>
            <w:r>
              <w:rPr>
                <w:rFonts w:hint="eastAsia" w:cs="宋体"/>
                <w:sz w:val="18"/>
                <w:szCs w:val="18"/>
              </w:rPr>
              <w:t>政治素质</w:t>
            </w:r>
          </w:p>
        </w:tc>
        <w:tc>
          <w:tcPr>
            <w:tcW w:w="7823" w:type="dxa"/>
          </w:tcPr>
          <w:p>
            <w:pPr>
              <w:rPr>
                <w:sz w:val="18"/>
                <w:szCs w:val="18"/>
              </w:rPr>
            </w:pPr>
            <w:r>
              <w:rPr>
                <w:rFonts w:hint="eastAsia" w:cs="宋体"/>
                <w:sz w:val="18"/>
                <w:szCs w:val="18"/>
              </w:rPr>
              <w:t>通过开设《毛泽东思想和中国特色社会主义理论体系概论》、《马克思主义基本原理》、《中国近现代史纲要》等政治修养类课程，开办业余党校等活动实现。</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24" w:hRule="atLeast"/>
        </w:trPr>
        <w:tc>
          <w:tcPr>
            <w:tcW w:w="1465" w:type="dxa"/>
            <w:gridSpan w:val="2"/>
            <w:vAlign w:val="center"/>
          </w:tcPr>
          <w:p>
            <w:pPr>
              <w:jc w:val="center"/>
              <w:rPr>
                <w:sz w:val="18"/>
                <w:szCs w:val="18"/>
              </w:rPr>
            </w:pPr>
            <w:r>
              <w:rPr>
                <w:rFonts w:hint="eastAsia" w:cs="宋体"/>
                <w:sz w:val="18"/>
                <w:szCs w:val="18"/>
              </w:rPr>
              <w:t>道德素质</w:t>
            </w:r>
          </w:p>
        </w:tc>
        <w:tc>
          <w:tcPr>
            <w:tcW w:w="7823" w:type="dxa"/>
          </w:tcPr>
          <w:p>
            <w:pPr>
              <w:rPr>
                <w:sz w:val="18"/>
                <w:szCs w:val="18"/>
              </w:rPr>
            </w:pPr>
            <w:r>
              <w:rPr>
                <w:rFonts w:hint="eastAsia" w:cs="宋体"/>
                <w:sz w:val="18"/>
                <w:szCs w:val="18"/>
              </w:rPr>
              <w:t>通过开设《思想道德修养与法律基础》、《专业导论》、《就业指导》等道德修养类课程，开展劳动、校园文化等活动实现。</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21" w:hRule="atLeast"/>
        </w:trPr>
        <w:tc>
          <w:tcPr>
            <w:tcW w:w="386" w:type="dxa"/>
            <w:vMerge w:val="restart"/>
            <w:vAlign w:val="center"/>
          </w:tcPr>
          <w:p>
            <w:pPr>
              <w:jc w:val="center"/>
              <w:rPr>
                <w:sz w:val="18"/>
                <w:szCs w:val="18"/>
              </w:rPr>
            </w:pPr>
            <w:r>
              <w:rPr>
                <w:rFonts w:hint="eastAsia" w:cs="宋体"/>
                <w:sz w:val="18"/>
                <w:szCs w:val="18"/>
              </w:rPr>
              <w:t>业务素质</w:t>
            </w:r>
          </w:p>
        </w:tc>
        <w:tc>
          <w:tcPr>
            <w:tcW w:w="1079" w:type="dxa"/>
            <w:vAlign w:val="center"/>
          </w:tcPr>
          <w:p>
            <w:pPr>
              <w:jc w:val="center"/>
              <w:rPr>
                <w:sz w:val="18"/>
                <w:szCs w:val="18"/>
              </w:rPr>
            </w:pPr>
            <w:r>
              <w:rPr>
                <w:rFonts w:hint="eastAsia" w:cs="宋体"/>
                <w:sz w:val="18"/>
                <w:szCs w:val="18"/>
              </w:rPr>
              <w:t>方向一：</w:t>
            </w:r>
          </w:p>
          <w:p>
            <w:pPr>
              <w:jc w:val="center"/>
              <w:rPr>
                <w:sz w:val="18"/>
                <w:szCs w:val="18"/>
              </w:rPr>
            </w:pPr>
            <w:r>
              <w:rPr>
                <w:rFonts w:hint="eastAsia" w:cs="宋体"/>
                <w:sz w:val="18"/>
                <w:szCs w:val="18"/>
              </w:rPr>
              <w:t>外语复合</w:t>
            </w:r>
          </w:p>
        </w:tc>
        <w:tc>
          <w:tcPr>
            <w:tcW w:w="7823" w:type="dxa"/>
          </w:tcPr>
          <w:p>
            <w:pPr>
              <w:rPr>
                <w:sz w:val="18"/>
                <w:szCs w:val="18"/>
              </w:rPr>
            </w:pPr>
            <w:r>
              <w:rPr>
                <w:rFonts w:hint="eastAsia" w:cs="宋体"/>
                <w:sz w:val="18"/>
                <w:szCs w:val="18"/>
              </w:rPr>
              <w:t>通过《管理学》、《旅游市场营销》、《导游（领队）业务》、《旅行社计调实务》、《旅行社门店经营与管理》等专业核心课程和《旅游服务心理学》、《旅游标准化实务》、《文化旅游产业学》、《旅游社交礼仪》、《旅游企业财务管理》、《景区服务与管理》等相关知识教育，旅游英语口语、旅游英语听力、旅游英语翻译以及课程内实训和《认识实习》、《专业实习》等专业核心技能、方法和能力的培养实现。</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21" w:hRule="atLeast"/>
        </w:trPr>
        <w:tc>
          <w:tcPr>
            <w:tcW w:w="386" w:type="dxa"/>
            <w:vMerge w:val="continue"/>
            <w:vAlign w:val="center"/>
          </w:tcPr>
          <w:p/>
        </w:tc>
        <w:tc>
          <w:tcPr>
            <w:tcW w:w="1079" w:type="dxa"/>
            <w:vAlign w:val="center"/>
          </w:tcPr>
          <w:p>
            <w:pPr>
              <w:rPr>
                <w:sz w:val="18"/>
                <w:szCs w:val="18"/>
              </w:rPr>
            </w:pPr>
            <w:r>
              <w:rPr>
                <w:rFonts w:hint="eastAsia" w:cs="宋体"/>
                <w:sz w:val="18"/>
                <w:szCs w:val="18"/>
              </w:rPr>
              <w:t>方向二：</w:t>
            </w:r>
          </w:p>
          <w:p>
            <w:pPr>
              <w:rPr>
                <w:sz w:val="18"/>
                <w:szCs w:val="18"/>
              </w:rPr>
            </w:pPr>
            <w:r>
              <w:rPr>
                <w:rFonts w:hint="eastAsia" w:cs="宋体"/>
                <w:sz w:val="18"/>
                <w:szCs w:val="18"/>
              </w:rPr>
              <w:t>电子商务复合</w:t>
            </w:r>
          </w:p>
        </w:tc>
        <w:tc>
          <w:tcPr>
            <w:tcW w:w="7823" w:type="dxa"/>
          </w:tcPr>
          <w:p>
            <w:pPr>
              <w:rPr>
                <w:sz w:val="18"/>
                <w:szCs w:val="18"/>
              </w:rPr>
            </w:pPr>
            <w:r>
              <w:rPr>
                <w:rFonts w:hint="eastAsia" w:cs="宋体"/>
                <w:sz w:val="18"/>
                <w:szCs w:val="18"/>
              </w:rPr>
              <w:t>通过《管理学》、《旅游市场营销》、《导游（领队）业务》、《旅行社计调实务》、《旅行社门店经营与管理》等专业核心课程和《旅游服务心理学》、《旅游标准化实务》、《文化旅游产业学》、《旅游社交礼仪》、《旅游企业财务管理》、《景区服务与管理》等相关知识教育，网页设计与制作、网络营销与策划、旅游电子商务网站运营管理以及课程内实训和《认识实习》《专业实习》等专业核心技能、方法和能力的培养实现。</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29" w:hRule="atLeast"/>
        </w:trPr>
        <w:tc>
          <w:tcPr>
            <w:tcW w:w="1465" w:type="dxa"/>
            <w:gridSpan w:val="2"/>
            <w:vAlign w:val="center"/>
          </w:tcPr>
          <w:p>
            <w:pPr>
              <w:jc w:val="center"/>
              <w:rPr>
                <w:sz w:val="18"/>
                <w:szCs w:val="18"/>
              </w:rPr>
            </w:pPr>
            <w:r>
              <w:rPr>
                <w:rFonts w:hint="eastAsia" w:cs="宋体"/>
                <w:sz w:val="18"/>
                <w:szCs w:val="18"/>
              </w:rPr>
              <w:t>身心素质</w:t>
            </w:r>
          </w:p>
        </w:tc>
        <w:tc>
          <w:tcPr>
            <w:tcW w:w="7823" w:type="dxa"/>
          </w:tcPr>
          <w:p>
            <w:pPr>
              <w:rPr>
                <w:sz w:val="18"/>
                <w:szCs w:val="18"/>
              </w:rPr>
            </w:pPr>
            <w:r>
              <w:rPr>
                <w:rFonts w:hint="eastAsia" w:cs="宋体"/>
                <w:sz w:val="18"/>
                <w:szCs w:val="18"/>
              </w:rPr>
              <w:t>通过开设《心理健康教育》、《体育》等身心修养类课程，通过军训、各类体育运动及其它校园活动实现。</w:t>
            </w:r>
          </w:p>
        </w:tc>
      </w:tr>
    </w:tbl>
    <w:p>
      <w:pPr>
        <w:spacing w:after="120" w:line="360" w:lineRule="exact"/>
        <w:ind w:left="420" w:leftChars="200" w:firstLine="413" w:firstLineChars="196"/>
        <w:jc w:val="center"/>
        <w:rPr>
          <w:rFonts w:ascii="宋体" w:cs="宋体"/>
          <w:b/>
          <w:bCs/>
        </w:rPr>
      </w:pPr>
      <w:r>
        <w:rPr>
          <w:rFonts w:hint="eastAsia" w:ascii="宋体" w:hAnsi="宋体" w:cs="宋体"/>
          <w:b/>
          <w:bCs/>
        </w:rPr>
        <w:t>表</w:t>
      </w:r>
      <w:r>
        <w:rPr>
          <w:rFonts w:ascii="宋体" w:hAnsi="宋体" w:cs="宋体"/>
          <w:b/>
          <w:bCs/>
        </w:rPr>
        <w:t>2</w:t>
      </w:r>
      <w:r>
        <w:rPr>
          <w:rFonts w:hint="eastAsia" w:ascii="宋体" w:hAnsi="宋体" w:cs="宋体"/>
          <w:b/>
          <w:bCs/>
        </w:rPr>
        <w:t>：能力结构及培养途径分解表</w:t>
      </w:r>
    </w:p>
    <w:tbl>
      <w:tblPr>
        <w:tblStyle w:val="16"/>
        <w:tblW w:w="9288" w:type="dxa"/>
        <w:tblInd w:w="-106"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368"/>
        <w:gridCol w:w="354"/>
        <w:gridCol w:w="1245"/>
        <w:gridCol w:w="73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296" w:hRule="atLeast"/>
        </w:trPr>
        <w:tc>
          <w:tcPr>
            <w:tcW w:w="1967" w:type="dxa"/>
            <w:gridSpan w:val="3"/>
            <w:vAlign w:val="center"/>
          </w:tcPr>
          <w:p>
            <w:pPr>
              <w:jc w:val="center"/>
              <w:rPr>
                <w:b/>
                <w:bCs/>
                <w:sz w:val="18"/>
                <w:szCs w:val="18"/>
              </w:rPr>
            </w:pPr>
            <w:r>
              <w:rPr>
                <w:rFonts w:hint="eastAsia" w:cs="宋体"/>
                <w:b/>
                <w:bCs/>
                <w:sz w:val="18"/>
                <w:szCs w:val="18"/>
              </w:rPr>
              <w:t>能力名称</w:t>
            </w:r>
          </w:p>
        </w:tc>
        <w:tc>
          <w:tcPr>
            <w:tcW w:w="7321" w:type="dxa"/>
            <w:vAlign w:val="center"/>
          </w:tcPr>
          <w:p>
            <w:pPr>
              <w:jc w:val="center"/>
              <w:rPr>
                <w:b/>
                <w:bCs/>
                <w:sz w:val="18"/>
                <w:szCs w:val="18"/>
              </w:rPr>
            </w:pPr>
            <w:r>
              <w:rPr>
                <w:rFonts w:hint="eastAsia" w:cs="宋体"/>
                <w:b/>
                <w:bCs/>
                <w:sz w:val="18"/>
                <w:szCs w:val="18"/>
              </w:rPr>
              <w:t>培养途径</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87" w:hRule="atLeast"/>
        </w:trPr>
        <w:tc>
          <w:tcPr>
            <w:tcW w:w="368" w:type="dxa"/>
            <w:vMerge w:val="restart"/>
            <w:vAlign w:val="center"/>
          </w:tcPr>
          <w:p>
            <w:pPr>
              <w:jc w:val="center"/>
              <w:rPr>
                <w:sz w:val="18"/>
                <w:szCs w:val="18"/>
              </w:rPr>
            </w:pPr>
            <w:r>
              <w:rPr>
                <w:rFonts w:hint="eastAsia" w:cs="宋体"/>
                <w:sz w:val="18"/>
                <w:szCs w:val="18"/>
              </w:rPr>
              <w:t>基本</w:t>
            </w:r>
          </w:p>
          <w:p>
            <w:pPr>
              <w:jc w:val="center"/>
              <w:rPr>
                <w:sz w:val="18"/>
                <w:szCs w:val="18"/>
              </w:rPr>
            </w:pPr>
            <w:r>
              <w:rPr>
                <w:rFonts w:hint="eastAsia" w:cs="宋体"/>
                <w:sz w:val="18"/>
                <w:szCs w:val="18"/>
              </w:rPr>
              <w:t>能力</w:t>
            </w:r>
          </w:p>
        </w:tc>
        <w:tc>
          <w:tcPr>
            <w:tcW w:w="1599" w:type="dxa"/>
            <w:gridSpan w:val="2"/>
            <w:vAlign w:val="center"/>
          </w:tcPr>
          <w:p>
            <w:pPr>
              <w:jc w:val="center"/>
              <w:rPr>
                <w:sz w:val="18"/>
                <w:szCs w:val="18"/>
              </w:rPr>
            </w:pPr>
            <w:r>
              <w:rPr>
                <w:rFonts w:hint="eastAsia" w:cs="宋体"/>
                <w:sz w:val="18"/>
                <w:szCs w:val="18"/>
              </w:rPr>
              <w:t>学习能力</w:t>
            </w:r>
          </w:p>
        </w:tc>
        <w:tc>
          <w:tcPr>
            <w:tcW w:w="7321" w:type="dxa"/>
          </w:tcPr>
          <w:p>
            <w:pPr>
              <w:rPr>
                <w:sz w:val="18"/>
                <w:szCs w:val="18"/>
              </w:rPr>
            </w:pPr>
            <w:r>
              <w:rPr>
                <w:rFonts w:hint="eastAsia" w:cs="宋体"/>
                <w:sz w:val="18"/>
                <w:szCs w:val="18"/>
              </w:rPr>
              <w:t>通过入学专业思想教育，使学生掌握</w:t>
            </w:r>
            <w:r>
              <w:rPr>
                <w:sz w:val="18"/>
                <w:szCs w:val="18"/>
              </w:rPr>
              <w:t>**</w:t>
            </w:r>
            <w:r>
              <w:rPr>
                <w:rFonts w:hint="eastAsia" w:cs="宋体"/>
                <w:sz w:val="18"/>
                <w:szCs w:val="18"/>
              </w:rPr>
              <w:t>专业学习特点和方法，明确学习目的</w:t>
            </w:r>
            <w:r>
              <w:rPr>
                <w:sz w:val="18"/>
                <w:szCs w:val="18"/>
              </w:rPr>
              <w:t>;</w:t>
            </w:r>
            <w:r>
              <w:rPr>
                <w:rFonts w:hint="eastAsia" w:cs="宋体"/>
                <w:sz w:val="18"/>
                <w:szCs w:val="18"/>
              </w:rPr>
              <w:t>通过课内外教学实践，培养学生合作学习能力；通过学科平台，培养学生自主学习能力；通过开设信息类课程，培养学生运用互联网的学习能力。</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87" w:hRule="atLeast"/>
        </w:trPr>
        <w:tc>
          <w:tcPr>
            <w:tcW w:w="368" w:type="dxa"/>
            <w:vMerge w:val="continue"/>
            <w:vAlign w:val="center"/>
          </w:tcPr>
          <w:p>
            <w:pPr>
              <w:widowControl/>
              <w:jc w:val="left"/>
              <w:rPr>
                <w:sz w:val="18"/>
                <w:szCs w:val="18"/>
              </w:rPr>
            </w:pPr>
          </w:p>
        </w:tc>
        <w:tc>
          <w:tcPr>
            <w:tcW w:w="1599" w:type="dxa"/>
            <w:gridSpan w:val="2"/>
            <w:vAlign w:val="center"/>
          </w:tcPr>
          <w:p>
            <w:pPr>
              <w:jc w:val="center"/>
              <w:rPr>
                <w:sz w:val="18"/>
                <w:szCs w:val="18"/>
              </w:rPr>
            </w:pPr>
            <w:r>
              <w:rPr>
                <w:rFonts w:hint="eastAsia" w:cs="宋体"/>
                <w:sz w:val="18"/>
                <w:szCs w:val="18"/>
              </w:rPr>
              <w:t>交流协作能力</w:t>
            </w:r>
          </w:p>
        </w:tc>
        <w:tc>
          <w:tcPr>
            <w:tcW w:w="7321" w:type="dxa"/>
          </w:tcPr>
          <w:p>
            <w:pPr>
              <w:rPr>
                <w:sz w:val="18"/>
                <w:szCs w:val="18"/>
              </w:rPr>
            </w:pPr>
            <w:r>
              <w:rPr>
                <w:rFonts w:hint="eastAsia" w:cs="宋体"/>
                <w:sz w:val="18"/>
                <w:szCs w:val="18"/>
              </w:rPr>
              <w:t>通过开设《旅游服务心理学》、《旅游社交礼仪》课程，让学生积极参加实习、社会实践、军训、校园文化和第二课堂等活动，从而培养其交流协作能力</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87" w:hRule="atLeast"/>
        </w:trPr>
        <w:tc>
          <w:tcPr>
            <w:tcW w:w="368" w:type="dxa"/>
            <w:vMerge w:val="continue"/>
            <w:vAlign w:val="center"/>
          </w:tcPr>
          <w:p>
            <w:pPr>
              <w:widowControl/>
              <w:jc w:val="left"/>
              <w:rPr>
                <w:sz w:val="18"/>
                <w:szCs w:val="18"/>
              </w:rPr>
            </w:pPr>
          </w:p>
        </w:tc>
        <w:tc>
          <w:tcPr>
            <w:tcW w:w="1599" w:type="dxa"/>
            <w:gridSpan w:val="2"/>
            <w:vAlign w:val="center"/>
          </w:tcPr>
          <w:p>
            <w:pPr>
              <w:jc w:val="center"/>
              <w:rPr>
                <w:sz w:val="18"/>
                <w:szCs w:val="18"/>
              </w:rPr>
            </w:pPr>
            <w:r>
              <w:rPr>
                <w:rFonts w:hint="eastAsia" w:cs="宋体"/>
                <w:sz w:val="18"/>
                <w:szCs w:val="18"/>
              </w:rPr>
              <w:t>思辨能力</w:t>
            </w:r>
          </w:p>
        </w:tc>
        <w:tc>
          <w:tcPr>
            <w:tcW w:w="7321" w:type="dxa"/>
          </w:tcPr>
          <w:p>
            <w:pPr>
              <w:rPr>
                <w:sz w:val="18"/>
                <w:szCs w:val="18"/>
              </w:rPr>
            </w:pPr>
            <w:r>
              <w:rPr>
                <w:rFonts w:hint="eastAsia" w:cs="宋体"/>
                <w:sz w:val="18"/>
                <w:szCs w:val="18"/>
              </w:rPr>
              <w:t>通过开设《马克思主义基本原理》、《毛泽东思想和中国特色社会主义理论体系概论》、《工程技术与科学精神》、《艺术创作与审美体验》等课程以及组织开展辩论比赛等课内外教学活动实现。</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87" w:hRule="atLeast"/>
        </w:trPr>
        <w:tc>
          <w:tcPr>
            <w:tcW w:w="368" w:type="dxa"/>
            <w:vMerge w:val="continue"/>
            <w:vAlign w:val="center"/>
          </w:tcPr>
          <w:p>
            <w:pPr>
              <w:widowControl/>
              <w:jc w:val="left"/>
              <w:rPr>
                <w:sz w:val="18"/>
                <w:szCs w:val="18"/>
              </w:rPr>
            </w:pPr>
          </w:p>
        </w:tc>
        <w:tc>
          <w:tcPr>
            <w:tcW w:w="1599" w:type="dxa"/>
            <w:gridSpan w:val="2"/>
            <w:vAlign w:val="center"/>
          </w:tcPr>
          <w:p>
            <w:pPr>
              <w:jc w:val="center"/>
              <w:rPr>
                <w:sz w:val="18"/>
                <w:szCs w:val="18"/>
              </w:rPr>
            </w:pPr>
            <w:r>
              <w:rPr>
                <w:rFonts w:hint="eastAsia" w:cs="宋体"/>
                <w:sz w:val="18"/>
                <w:szCs w:val="18"/>
              </w:rPr>
              <w:t>基本创新能力</w:t>
            </w:r>
          </w:p>
        </w:tc>
        <w:tc>
          <w:tcPr>
            <w:tcW w:w="7321" w:type="dxa"/>
          </w:tcPr>
          <w:p>
            <w:pPr>
              <w:rPr>
                <w:sz w:val="18"/>
                <w:szCs w:val="18"/>
              </w:rPr>
            </w:pPr>
            <w:r>
              <w:rPr>
                <w:rFonts w:hint="eastAsia" w:cs="宋体"/>
                <w:sz w:val="18"/>
                <w:szCs w:val="18"/>
              </w:rPr>
              <w:t>通过开设《职业规划与就业指导》、《创新实践》等课程，举办学术讲座或研讨活动，开展学生科技竞赛，开展师生科研结对等活动，同时通过让学生撰写学期论文和毕业论文，培养学生的创新意识与创新能力。</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877" w:hRule="atLeast"/>
        </w:trPr>
        <w:tc>
          <w:tcPr>
            <w:tcW w:w="368" w:type="dxa"/>
            <w:vMerge w:val="restart"/>
            <w:vAlign w:val="center"/>
          </w:tcPr>
          <w:p>
            <w:pPr>
              <w:jc w:val="center"/>
              <w:rPr>
                <w:sz w:val="18"/>
                <w:szCs w:val="18"/>
              </w:rPr>
            </w:pPr>
            <w:r>
              <w:rPr>
                <w:rFonts w:hint="eastAsia" w:cs="宋体"/>
                <w:sz w:val="18"/>
                <w:szCs w:val="18"/>
              </w:rPr>
              <w:t>专业能力</w:t>
            </w:r>
          </w:p>
        </w:tc>
        <w:tc>
          <w:tcPr>
            <w:tcW w:w="354" w:type="dxa"/>
            <w:vMerge w:val="restart"/>
            <w:vAlign w:val="center"/>
          </w:tcPr>
          <w:p>
            <w:pPr>
              <w:jc w:val="center"/>
              <w:rPr>
                <w:sz w:val="18"/>
                <w:szCs w:val="18"/>
              </w:rPr>
            </w:pPr>
            <w:r>
              <w:rPr>
                <w:rFonts w:hint="eastAsia" w:cs="宋体"/>
                <w:sz w:val="18"/>
                <w:szCs w:val="18"/>
              </w:rPr>
              <w:t>核</w:t>
            </w:r>
          </w:p>
          <w:p>
            <w:pPr>
              <w:jc w:val="center"/>
              <w:rPr>
                <w:sz w:val="18"/>
                <w:szCs w:val="18"/>
              </w:rPr>
            </w:pPr>
            <w:r>
              <w:rPr>
                <w:rFonts w:hint="eastAsia" w:cs="宋体"/>
                <w:sz w:val="18"/>
                <w:szCs w:val="18"/>
              </w:rPr>
              <w:t>心能力</w:t>
            </w:r>
          </w:p>
        </w:tc>
        <w:tc>
          <w:tcPr>
            <w:tcW w:w="1245" w:type="dxa"/>
            <w:vAlign w:val="center"/>
          </w:tcPr>
          <w:p>
            <w:pPr>
              <w:jc w:val="center"/>
              <w:rPr>
                <w:sz w:val="18"/>
                <w:szCs w:val="18"/>
              </w:rPr>
            </w:pPr>
          </w:p>
          <w:p>
            <w:pPr>
              <w:jc w:val="center"/>
              <w:rPr>
                <w:sz w:val="18"/>
                <w:szCs w:val="18"/>
              </w:rPr>
            </w:pPr>
            <w:r>
              <w:rPr>
                <w:rFonts w:hint="eastAsia" w:cs="宋体"/>
                <w:sz w:val="18"/>
                <w:szCs w:val="18"/>
              </w:rPr>
              <w:t>专长能力</w:t>
            </w:r>
          </w:p>
          <w:p>
            <w:pPr>
              <w:jc w:val="center"/>
              <w:rPr>
                <w:sz w:val="18"/>
                <w:szCs w:val="18"/>
              </w:rPr>
            </w:pPr>
          </w:p>
        </w:tc>
        <w:tc>
          <w:tcPr>
            <w:tcW w:w="7321" w:type="dxa"/>
          </w:tcPr>
          <w:p>
            <w:pPr>
              <w:rPr>
                <w:sz w:val="18"/>
                <w:szCs w:val="18"/>
              </w:rPr>
            </w:pPr>
            <w:r>
              <w:rPr>
                <w:rFonts w:hint="eastAsia" w:cs="宋体"/>
                <w:sz w:val="18"/>
                <w:szCs w:val="18"/>
              </w:rPr>
              <w:t>高级旅游外语口语、听力、翻译等应用能力、（涉外）导游与出境领队能力、公（商）务高端旅游产品定制及接待能力、旅行社计调操作业务能力、旅行社门店接待与管理能力、旅行社经营与管理能力、网络营销管理与策划能力等。具体途径：跨专业联动，依托外语学院提升外语听、说、译的教学水平和质量；聘请企业导师开设课程、讲座等，实施“一课双师”等；加强专业课程的课内实训及课外实习等。</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632" w:hRule="atLeast"/>
        </w:trPr>
        <w:tc>
          <w:tcPr>
            <w:tcW w:w="368" w:type="dxa"/>
            <w:vMerge w:val="continue"/>
            <w:vAlign w:val="center"/>
          </w:tcPr>
          <w:p>
            <w:pPr>
              <w:widowControl/>
              <w:jc w:val="left"/>
              <w:rPr>
                <w:sz w:val="18"/>
                <w:szCs w:val="18"/>
              </w:rPr>
            </w:pPr>
          </w:p>
        </w:tc>
        <w:tc>
          <w:tcPr>
            <w:tcW w:w="354" w:type="dxa"/>
            <w:vMerge w:val="continue"/>
            <w:vAlign w:val="center"/>
          </w:tcPr>
          <w:p>
            <w:pPr>
              <w:widowControl/>
              <w:jc w:val="left"/>
              <w:rPr>
                <w:sz w:val="18"/>
                <w:szCs w:val="18"/>
              </w:rPr>
            </w:pPr>
          </w:p>
        </w:tc>
        <w:tc>
          <w:tcPr>
            <w:tcW w:w="1245" w:type="dxa"/>
            <w:vAlign w:val="center"/>
          </w:tcPr>
          <w:p>
            <w:pPr>
              <w:jc w:val="center"/>
              <w:rPr>
                <w:sz w:val="18"/>
                <w:szCs w:val="18"/>
              </w:rPr>
            </w:pPr>
            <w:r>
              <w:rPr>
                <w:rFonts w:hint="eastAsia" w:cs="宋体"/>
                <w:sz w:val="18"/>
                <w:szCs w:val="18"/>
              </w:rPr>
              <w:t>外显能力</w:t>
            </w:r>
          </w:p>
        </w:tc>
        <w:tc>
          <w:tcPr>
            <w:tcW w:w="7321" w:type="dxa"/>
          </w:tcPr>
          <w:p>
            <w:pPr>
              <w:jc w:val="left"/>
              <w:rPr>
                <w:sz w:val="18"/>
                <w:szCs w:val="18"/>
              </w:rPr>
            </w:pPr>
            <w:r>
              <w:rPr>
                <w:rFonts w:hint="eastAsia" w:cs="宋体"/>
                <w:sz w:val="18"/>
                <w:szCs w:val="18"/>
              </w:rPr>
              <w:t>出色的外语（含第二外语）能力、沟通能力、社交能力、组织能力、领导能力、计算机应用能力、应用写作能力和文献检索能力。具体途径：开设第二外语课程；提高计算机二级通过率；将计算机、应用文写作及文献检索能力渗透到相关课程中的学习和课后作业中；鼓励学生利用课余时间参与校内团学及社团，以及校外兼职等活动；组织学生参加各类社会实践等。</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87" w:hRule="atLeast"/>
        </w:trPr>
        <w:tc>
          <w:tcPr>
            <w:tcW w:w="368" w:type="dxa"/>
            <w:vMerge w:val="continue"/>
            <w:vAlign w:val="center"/>
          </w:tcPr>
          <w:p>
            <w:pPr>
              <w:widowControl/>
              <w:jc w:val="left"/>
              <w:rPr>
                <w:sz w:val="18"/>
                <w:szCs w:val="18"/>
              </w:rPr>
            </w:pPr>
          </w:p>
        </w:tc>
        <w:tc>
          <w:tcPr>
            <w:tcW w:w="354" w:type="dxa"/>
            <w:vMerge w:val="restart"/>
            <w:vAlign w:val="center"/>
          </w:tcPr>
          <w:p>
            <w:pPr>
              <w:jc w:val="center"/>
              <w:rPr>
                <w:sz w:val="18"/>
                <w:szCs w:val="18"/>
              </w:rPr>
            </w:pPr>
            <w:r>
              <w:rPr>
                <w:rFonts w:hint="eastAsia" w:cs="宋体"/>
                <w:sz w:val="18"/>
                <w:szCs w:val="18"/>
              </w:rPr>
              <w:t>其</w:t>
            </w:r>
          </w:p>
          <w:p>
            <w:pPr>
              <w:jc w:val="center"/>
              <w:rPr>
                <w:sz w:val="18"/>
                <w:szCs w:val="18"/>
              </w:rPr>
            </w:pPr>
            <w:r>
              <w:rPr>
                <w:rFonts w:hint="eastAsia" w:cs="宋体"/>
                <w:sz w:val="18"/>
                <w:szCs w:val="18"/>
              </w:rPr>
              <w:t>它能力</w:t>
            </w:r>
          </w:p>
        </w:tc>
        <w:tc>
          <w:tcPr>
            <w:tcW w:w="1245" w:type="dxa"/>
            <w:vAlign w:val="center"/>
          </w:tcPr>
          <w:p>
            <w:pPr>
              <w:jc w:val="center"/>
              <w:rPr>
                <w:sz w:val="18"/>
                <w:szCs w:val="18"/>
              </w:rPr>
            </w:pPr>
            <w:r>
              <w:rPr>
                <w:rFonts w:hint="eastAsia" w:cs="宋体"/>
                <w:sz w:val="18"/>
                <w:szCs w:val="18"/>
              </w:rPr>
              <w:t>综合能力</w:t>
            </w:r>
          </w:p>
        </w:tc>
        <w:tc>
          <w:tcPr>
            <w:tcW w:w="7321" w:type="dxa"/>
          </w:tcPr>
          <w:p>
            <w:pPr>
              <w:jc w:val="left"/>
              <w:rPr>
                <w:sz w:val="18"/>
                <w:szCs w:val="18"/>
              </w:rPr>
            </w:pPr>
            <w:r>
              <w:rPr>
                <w:rFonts w:hint="eastAsia" w:cs="宋体"/>
                <w:sz w:val="18"/>
                <w:szCs w:val="18"/>
              </w:rPr>
              <w:t>学习能力、市场调研能力、实践动手能力、分析解决问题能力、独立思考能力、团队协作能力、创新精神、创造能力、自我发展能力。具体途径：将提升学生综合能力的内容融入课程改革，让学生在课程内得到综合能力的锻炼；鼓励学生利用课余时间积极参加校内各项活动及校外社会实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87" w:hRule="atLeast"/>
        </w:trPr>
        <w:tc>
          <w:tcPr>
            <w:tcW w:w="368" w:type="dxa"/>
            <w:vMerge w:val="continue"/>
            <w:vAlign w:val="center"/>
          </w:tcPr>
          <w:p>
            <w:pPr>
              <w:widowControl/>
              <w:jc w:val="left"/>
              <w:rPr>
                <w:sz w:val="18"/>
                <w:szCs w:val="18"/>
              </w:rPr>
            </w:pPr>
          </w:p>
        </w:tc>
        <w:tc>
          <w:tcPr>
            <w:tcW w:w="354" w:type="dxa"/>
            <w:vMerge w:val="continue"/>
            <w:vAlign w:val="center"/>
          </w:tcPr>
          <w:p>
            <w:pPr>
              <w:widowControl/>
              <w:jc w:val="left"/>
              <w:rPr>
                <w:sz w:val="18"/>
                <w:szCs w:val="18"/>
              </w:rPr>
            </w:pPr>
          </w:p>
        </w:tc>
        <w:tc>
          <w:tcPr>
            <w:tcW w:w="1245" w:type="dxa"/>
            <w:vAlign w:val="center"/>
          </w:tcPr>
          <w:p>
            <w:pPr>
              <w:jc w:val="center"/>
              <w:rPr>
                <w:sz w:val="18"/>
                <w:szCs w:val="18"/>
              </w:rPr>
            </w:pPr>
            <w:r>
              <w:rPr>
                <w:rFonts w:hint="eastAsia" w:cs="宋体"/>
                <w:sz w:val="18"/>
                <w:szCs w:val="18"/>
              </w:rPr>
              <w:t>应岗能力</w:t>
            </w:r>
          </w:p>
        </w:tc>
        <w:tc>
          <w:tcPr>
            <w:tcW w:w="7321" w:type="dxa"/>
          </w:tcPr>
          <w:p>
            <w:pPr>
              <w:rPr>
                <w:sz w:val="18"/>
                <w:szCs w:val="18"/>
              </w:rPr>
            </w:pPr>
            <w:r>
              <w:rPr>
                <w:rFonts w:hint="eastAsia" w:cs="宋体"/>
                <w:sz w:val="18"/>
                <w:szCs w:val="18"/>
              </w:rPr>
              <w:t>即适应岗位的能力，包括业务能力、计算机和外语的应用能力、沟通能力、分析问题解决问题能力等。具体途径：通过考取导游证、领队证、外语类相关证书；参与课内实训及课外实习等，拓宽就业渠道，提高应岗能力。</w:t>
            </w:r>
          </w:p>
        </w:tc>
      </w:tr>
    </w:tbl>
    <w:p>
      <w:pPr>
        <w:spacing w:before="156" w:beforeLines="50" w:line="360" w:lineRule="auto"/>
        <w:rPr>
          <w:rFonts w:ascii="黑体" w:hAnsi="黑体" w:eastAsia="黑体"/>
          <w:b/>
          <w:bCs/>
        </w:rPr>
      </w:pPr>
      <w:r>
        <w:rPr>
          <w:rFonts w:hint="eastAsia" w:ascii="黑体" w:hAnsi="黑体" w:eastAsia="黑体" w:cs="黑体"/>
          <w:b/>
          <w:bCs/>
        </w:rPr>
        <w:t>三、主要课程</w:t>
      </w:r>
    </w:p>
    <w:p>
      <w:pPr>
        <w:spacing w:before="156" w:beforeLines="50" w:line="360" w:lineRule="auto"/>
        <w:ind w:firstLine="411" w:firstLineChars="196"/>
      </w:pPr>
      <w:r>
        <w:rPr>
          <w:rFonts w:hAnsi="宋体"/>
        </w:rPr>
        <w:t>*</w:t>
      </w:r>
      <w:r>
        <w:rPr>
          <w:rFonts w:hint="eastAsia" w:hAnsi="宋体" w:cs="宋体"/>
        </w:rPr>
        <w:t>管理学、</w:t>
      </w:r>
      <w:r>
        <w:rPr>
          <w:rFonts w:hAnsi="宋体"/>
        </w:rPr>
        <w:t>*</w:t>
      </w:r>
      <w:r>
        <w:rPr>
          <w:rFonts w:hint="eastAsia" w:hAnsi="宋体" w:cs="宋体"/>
        </w:rPr>
        <w:t>旅游市场营销、</w:t>
      </w:r>
      <w:r>
        <w:rPr>
          <w:rFonts w:hint="eastAsia" w:hAnsi="宋体"/>
        </w:rPr>
        <w:t>*</w:t>
      </w:r>
      <w:r>
        <w:rPr>
          <w:rFonts w:hint="eastAsia" w:hAnsi="宋体" w:cs="宋体"/>
        </w:rPr>
        <w:t>导游（领队）业务、</w:t>
      </w:r>
      <w:r>
        <w:rPr>
          <w:rFonts w:hAnsi="宋体"/>
        </w:rPr>
        <w:t>*</w:t>
      </w:r>
      <w:r>
        <w:rPr>
          <w:rFonts w:hint="eastAsia" w:hAnsi="宋体" w:cs="宋体"/>
        </w:rPr>
        <w:t>旅行社计调实务、</w:t>
      </w:r>
      <w:r>
        <w:rPr>
          <w:rFonts w:hAnsi="宋体"/>
        </w:rPr>
        <w:t>*</w:t>
      </w:r>
      <w:r>
        <w:rPr>
          <w:rFonts w:hint="eastAsia" w:hAnsi="宋体" w:cs="宋体"/>
        </w:rPr>
        <w:t>旅行社门店经营与管理、旅游心理学、旅游经济学、旅游社交礼仪、旅游企业财务管理、景区服务与管理、旅游英语口语、旅游英语听力、旅游英语翻译等。</w:t>
      </w:r>
    </w:p>
    <w:p>
      <w:pPr>
        <w:spacing w:before="156" w:beforeLines="50" w:line="360" w:lineRule="auto"/>
        <w:rPr>
          <w:rFonts w:ascii="黑体" w:hAnsi="黑体" w:eastAsia="黑体"/>
          <w:b/>
          <w:bCs/>
        </w:rPr>
      </w:pPr>
      <w:r>
        <w:rPr>
          <w:rFonts w:hint="eastAsia" w:ascii="黑体" w:hAnsi="黑体" w:eastAsia="黑体" w:cs="黑体"/>
          <w:b/>
          <w:bCs/>
        </w:rPr>
        <w:t>四、</w:t>
      </w:r>
      <w:r>
        <w:rPr>
          <w:rFonts w:hint="eastAsia" w:ascii="黑体" w:hAnsi="黑体" w:eastAsia="黑体" w:cs="黑体"/>
          <w:b/>
          <w:bCs/>
          <w:lang w:val="en-US" w:eastAsia="zh-CN"/>
        </w:rPr>
        <w:t>教学</w:t>
      </w:r>
      <w:r>
        <w:rPr>
          <w:rFonts w:hint="eastAsia" w:ascii="黑体" w:hAnsi="黑体" w:eastAsia="黑体" w:cs="黑体"/>
          <w:b/>
          <w:bCs/>
        </w:rPr>
        <w:t>特色课程</w:t>
      </w:r>
    </w:p>
    <w:p>
      <w:pPr>
        <w:widowControl/>
        <w:spacing w:line="400" w:lineRule="exact"/>
        <w:ind w:firstLine="420" w:firstLineChars="200"/>
        <w:jc w:val="left"/>
        <w:rPr>
          <w:b/>
          <w:bCs/>
        </w:rPr>
      </w:pPr>
      <w:r>
        <w:rPr>
          <w:rFonts w:hint="eastAsia" w:hAnsi="宋体" w:cs="宋体"/>
        </w:rPr>
        <w:t>导游（领队）业务</w:t>
      </w:r>
      <w:r>
        <w:rPr>
          <w:rFonts w:hint="eastAsia" w:hAnsi="宋体" w:cs="宋体"/>
          <w:lang w:eastAsia="zh-CN"/>
        </w:rPr>
        <w:t>（</w:t>
      </w:r>
      <w:r>
        <w:rPr>
          <w:rFonts w:hint="eastAsia" w:hAnsi="宋体" w:cs="宋体"/>
          <w:lang w:val="en-US" w:eastAsia="zh-CN"/>
        </w:rPr>
        <w:t>在线开放</w:t>
      </w:r>
      <w:r>
        <w:rPr>
          <w:rFonts w:hint="eastAsia" w:hAnsi="宋体" w:cs="宋体"/>
          <w:lang w:eastAsia="zh-CN"/>
        </w:rPr>
        <w:t>）、</w:t>
      </w:r>
      <w:r>
        <w:rPr>
          <w:rFonts w:hint="eastAsia" w:hAnsi="宋体" w:cs="宋体"/>
        </w:rPr>
        <w:t>旅行社计调实务</w:t>
      </w:r>
      <w:r>
        <w:rPr>
          <w:rFonts w:hint="eastAsia" w:hAnsi="宋体" w:cs="宋体"/>
          <w:lang w:eastAsia="zh-CN"/>
        </w:rPr>
        <w:t>（</w:t>
      </w:r>
      <w:r>
        <w:rPr>
          <w:rFonts w:hint="eastAsia" w:hAnsi="宋体" w:cs="宋体"/>
          <w:lang w:val="en-US" w:eastAsia="zh-CN"/>
        </w:rPr>
        <w:t>一课双师</w:t>
      </w:r>
      <w:r>
        <w:rPr>
          <w:rFonts w:hint="eastAsia" w:hAnsi="宋体" w:cs="宋体"/>
          <w:lang w:eastAsia="zh-CN"/>
        </w:rPr>
        <w:t>）</w:t>
      </w:r>
      <w:r>
        <w:rPr>
          <w:rFonts w:hint="eastAsia" w:hAnsi="宋体" w:cs="宋体"/>
        </w:rPr>
        <w:t>、旅行社门店经营与管理</w:t>
      </w:r>
      <w:r>
        <w:rPr>
          <w:rFonts w:hint="eastAsia" w:hAnsi="宋体" w:cs="宋体"/>
          <w:lang w:eastAsia="zh-CN"/>
        </w:rPr>
        <w:t>（</w:t>
      </w:r>
      <w:r>
        <w:rPr>
          <w:rFonts w:hint="eastAsia" w:hAnsi="宋体" w:cs="宋体"/>
          <w:lang w:val="en-US" w:eastAsia="zh-CN"/>
        </w:rPr>
        <w:t>一课双师</w:t>
      </w:r>
      <w:r>
        <w:rPr>
          <w:rFonts w:hint="eastAsia" w:hAnsi="宋体" w:cs="宋体"/>
          <w:lang w:eastAsia="zh-CN"/>
        </w:rPr>
        <w:t>）、</w:t>
      </w:r>
      <w:bookmarkStart w:id="1" w:name="_GoBack"/>
      <w:bookmarkEnd w:id="1"/>
      <w:r>
        <w:rPr>
          <w:rFonts w:hint="eastAsia" w:hAnsi="宋体"/>
        </w:rPr>
        <w:t>跨文化交际</w:t>
      </w:r>
      <w:r>
        <w:rPr>
          <w:rFonts w:hint="eastAsia" w:hAnsi="宋体"/>
          <w:lang w:eastAsia="zh-CN"/>
        </w:rPr>
        <w:t>（</w:t>
      </w:r>
      <w:r>
        <w:rPr>
          <w:rFonts w:hint="eastAsia" w:hAnsi="宋体"/>
          <w:lang w:val="en-US" w:eastAsia="zh-CN"/>
        </w:rPr>
        <w:t>双语</w:t>
      </w:r>
      <w:r>
        <w:rPr>
          <w:rFonts w:hint="eastAsia" w:hAnsi="宋体"/>
          <w:lang w:eastAsia="zh-CN"/>
        </w:rPr>
        <w:t>）</w:t>
      </w:r>
      <w:r>
        <w:rPr>
          <w:rFonts w:hint="eastAsia" w:hAnsi="宋体"/>
        </w:rPr>
        <w:t>、</w:t>
      </w:r>
      <w:r>
        <w:rPr>
          <w:rFonts w:hint="eastAsia" w:hAnsi="宋体" w:cs="宋体"/>
        </w:rPr>
        <w:t>旅游英语口语</w:t>
      </w:r>
      <w:r>
        <w:rPr>
          <w:rFonts w:hint="eastAsia" w:hAnsi="宋体" w:cs="宋体"/>
          <w:lang w:eastAsia="zh-CN"/>
        </w:rPr>
        <w:t>（</w:t>
      </w:r>
      <w:r>
        <w:rPr>
          <w:rFonts w:hint="eastAsia" w:hAnsi="宋体" w:cs="宋体"/>
          <w:lang w:val="en-US" w:eastAsia="zh-CN"/>
        </w:rPr>
        <w:t>外教</w:t>
      </w:r>
      <w:r>
        <w:rPr>
          <w:rFonts w:hint="eastAsia" w:hAnsi="宋体" w:cs="宋体"/>
          <w:lang w:eastAsia="zh-CN"/>
        </w:rPr>
        <w:t>）</w:t>
      </w:r>
      <w:r>
        <w:rPr>
          <w:rFonts w:hint="eastAsia" w:hAnsi="宋体" w:cs="宋体"/>
        </w:rPr>
        <w:t>、旅游英语听力、旅游英语翻译等。</w:t>
      </w:r>
    </w:p>
    <w:p>
      <w:pPr>
        <w:spacing w:before="156" w:beforeLines="50" w:line="360" w:lineRule="auto"/>
        <w:rPr>
          <w:rFonts w:ascii="黑体" w:hAnsi="黑体" w:eastAsia="黑体"/>
          <w:b/>
          <w:bCs/>
        </w:rPr>
      </w:pPr>
      <w:r>
        <w:rPr>
          <w:rFonts w:hint="eastAsia" w:ascii="黑体" w:hAnsi="黑体" w:eastAsia="黑体" w:cs="黑体"/>
          <w:b/>
          <w:bCs/>
        </w:rPr>
        <w:t>五、主要实践环节</w:t>
      </w:r>
    </w:p>
    <w:p>
      <w:pPr>
        <w:spacing w:before="156" w:beforeLines="50" w:line="360" w:lineRule="auto"/>
        <w:ind w:firstLine="420" w:firstLineChars="200"/>
        <w:rPr>
          <w:rFonts w:hAnsi="宋体"/>
          <w:b/>
          <w:bCs/>
        </w:rPr>
      </w:pPr>
      <w:r>
        <w:rPr>
          <w:rFonts w:hint="eastAsia" w:hAnsi="宋体" w:cs="宋体"/>
        </w:rPr>
        <w:t>社会实践、专业认识及岗位实习、毕业实习</w:t>
      </w:r>
    </w:p>
    <w:p>
      <w:pPr>
        <w:spacing w:before="156" w:beforeLines="50" w:line="360" w:lineRule="auto"/>
        <w:rPr>
          <w:rFonts w:ascii="黑体" w:hAnsi="黑体" w:eastAsia="黑体"/>
          <w:b/>
          <w:bCs/>
        </w:rPr>
      </w:pPr>
      <w:r>
        <w:rPr>
          <w:rFonts w:hint="eastAsia" w:ascii="黑体" w:hAnsi="黑体" w:eastAsia="黑体" w:cs="黑体"/>
          <w:b/>
          <w:bCs/>
        </w:rPr>
        <w:t>六、学制学位</w:t>
      </w:r>
    </w:p>
    <w:p>
      <w:pPr>
        <w:spacing w:line="360" w:lineRule="auto"/>
        <w:ind w:firstLine="420" w:firstLineChars="200"/>
        <w:rPr>
          <w:rFonts w:hAnsi="宋体"/>
        </w:rPr>
      </w:pPr>
      <w:r>
        <w:rPr>
          <w:rFonts w:hint="eastAsia" w:hAnsi="宋体" w:cs="宋体"/>
        </w:rPr>
        <w:t>实行弹性学制，基本学制四年，弹性学制三到六年。授予管理学学士（符合浙江工业大学之江学院辅修专业相关规定者可申请英语辅修专业证书）</w:t>
      </w:r>
    </w:p>
    <w:p>
      <w:pPr>
        <w:spacing w:before="156" w:beforeLines="50" w:line="360" w:lineRule="auto"/>
        <w:rPr>
          <w:rFonts w:ascii="黑体" w:hAnsi="黑体" w:eastAsia="黑体"/>
          <w:b/>
          <w:bCs/>
        </w:rPr>
      </w:pPr>
      <w:r>
        <w:rPr>
          <w:rFonts w:hint="eastAsia" w:ascii="黑体" w:hAnsi="黑体" w:eastAsia="黑体" w:cs="黑体"/>
          <w:b/>
          <w:bCs/>
        </w:rPr>
        <w:t>七、毕业学分要求</w:t>
      </w:r>
    </w:p>
    <w:p>
      <w:pPr>
        <w:spacing w:line="360" w:lineRule="auto"/>
        <w:ind w:firstLine="420" w:firstLineChars="200"/>
      </w:pPr>
      <w:r>
        <w:rPr>
          <w:rFonts w:hint="eastAsia" w:hAnsi="宋体" w:cs="宋体"/>
          <w:lang w:val="en-US" w:eastAsia="zh-CN"/>
        </w:rPr>
        <w:t>旅游外语复培养学生</w:t>
      </w:r>
      <w:r>
        <w:rPr>
          <w:rFonts w:hint="eastAsia" w:hAnsi="宋体" w:cs="宋体"/>
        </w:rPr>
        <w:t>最低必须获得</w:t>
      </w:r>
      <w:r>
        <w:t>1</w:t>
      </w:r>
      <w:r>
        <w:rPr>
          <w:rFonts w:hint="eastAsia"/>
          <w:lang w:val="en-US" w:eastAsia="zh-CN"/>
        </w:rPr>
        <w:t>59</w:t>
      </w:r>
      <w:r>
        <w:t>.5</w:t>
      </w:r>
      <w:r>
        <w:rPr>
          <w:rFonts w:hint="eastAsia" w:hAnsi="宋体" w:cs="宋体"/>
        </w:rPr>
        <w:t>学分，其中理论教学不低于</w:t>
      </w:r>
      <w:r>
        <w:t>1</w:t>
      </w:r>
      <w:r>
        <w:rPr>
          <w:rFonts w:hint="eastAsia"/>
        </w:rPr>
        <w:t>2</w:t>
      </w:r>
      <w:r>
        <w:rPr>
          <w:rFonts w:hint="eastAsia"/>
          <w:lang w:val="en-US" w:eastAsia="zh-CN"/>
        </w:rPr>
        <w:t>1</w:t>
      </w:r>
      <w:r>
        <w:t>.5</w:t>
      </w:r>
      <w:r>
        <w:rPr>
          <w:rFonts w:hint="eastAsia" w:hAnsi="宋体" w:cs="宋体"/>
        </w:rPr>
        <w:t>学分；实践环节不低于</w:t>
      </w:r>
      <w:r>
        <w:rPr>
          <w:rFonts w:hint="eastAsia" w:hAnsi="宋体" w:cs="宋体"/>
          <w:lang w:val="en-US" w:eastAsia="zh-CN"/>
        </w:rPr>
        <w:t>38</w:t>
      </w:r>
      <w:r>
        <w:rPr>
          <w:rFonts w:hint="eastAsia" w:hAnsi="宋体" w:cs="宋体"/>
        </w:rPr>
        <w:t>学分，通过毕业设计（论文）。</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2</w:t>
    </w:r>
    <w:r>
      <w:rPr>
        <w:rStyle w:val="14"/>
      </w:rPr>
      <w:fldChar w:fldCharType="end"/>
    </w:r>
  </w:p>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2A1"/>
    <w:rsid w:val="00004303"/>
    <w:rsid w:val="00083E65"/>
    <w:rsid w:val="000F4548"/>
    <w:rsid w:val="0010409E"/>
    <w:rsid w:val="001413F6"/>
    <w:rsid w:val="0015723B"/>
    <w:rsid w:val="00193975"/>
    <w:rsid w:val="00194A29"/>
    <w:rsid w:val="001A1C30"/>
    <w:rsid w:val="001A557B"/>
    <w:rsid w:val="001B75A2"/>
    <w:rsid w:val="001C027C"/>
    <w:rsid w:val="001D20FB"/>
    <w:rsid w:val="001F4FF0"/>
    <w:rsid w:val="00210B5C"/>
    <w:rsid w:val="00211911"/>
    <w:rsid w:val="00217C8A"/>
    <w:rsid w:val="00221537"/>
    <w:rsid w:val="00233CDB"/>
    <w:rsid w:val="00243851"/>
    <w:rsid w:val="0024742A"/>
    <w:rsid w:val="002C126D"/>
    <w:rsid w:val="002E02A2"/>
    <w:rsid w:val="003064CF"/>
    <w:rsid w:val="00364266"/>
    <w:rsid w:val="003948D0"/>
    <w:rsid w:val="003976DB"/>
    <w:rsid w:val="003A60B6"/>
    <w:rsid w:val="003E1D6C"/>
    <w:rsid w:val="00411185"/>
    <w:rsid w:val="00416E58"/>
    <w:rsid w:val="00421EAD"/>
    <w:rsid w:val="004356D7"/>
    <w:rsid w:val="004529A8"/>
    <w:rsid w:val="004537D3"/>
    <w:rsid w:val="00475013"/>
    <w:rsid w:val="004A01F8"/>
    <w:rsid w:val="004A7864"/>
    <w:rsid w:val="004C10F0"/>
    <w:rsid w:val="004D33A1"/>
    <w:rsid w:val="005067F2"/>
    <w:rsid w:val="00530A19"/>
    <w:rsid w:val="00547E7F"/>
    <w:rsid w:val="00553D10"/>
    <w:rsid w:val="00586F07"/>
    <w:rsid w:val="005873C6"/>
    <w:rsid w:val="005C062A"/>
    <w:rsid w:val="005C1B85"/>
    <w:rsid w:val="005D2F60"/>
    <w:rsid w:val="005E5941"/>
    <w:rsid w:val="00623EDF"/>
    <w:rsid w:val="006A5385"/>
    <w:rsid w:val="006A566F"/>
    <w:rsid w:val="006B1F6F"/>
    <w:rsid w:val="006B581F"/>
    <w:rsid w:val="006B62B4"/>
    <w:rsid w:val="006C721E"/>
    <w:rsid w:val="006E26C5"/>
    <w:rsid w:val="0077504D"/>
    <w:rsid w:val="0079099D"/>
    <w:rsid w:val="007F5F24"/>
    <w:rsid w:val="00812815"/>
    <w:rsid w:val="00844E92"/>
    <w:rsid w:val="00847195"/>
    <w:rsid w:val="008862A9"/>
    <w:rsid w:val="008A5020"/>
    <w:rsid w:val="008A5E97"/>
    <w:rsid w:val="008B2100"/>
    <w:rsid w:val="008C3DB4"/>
    <w:rsid w:val="008C5BBC"/>
    <w:rsid w:val="008E3550"/>
    <w:rsid w:val="00924B7A"/>
    <w:rsid w:val="009376CD"/>
    <w:rsid w:val="009512E7"/>
    <w:rsid w:val="009B0624"/>
    <w:rsid w:val="009C34EF"/>
    <w:rsid w:val="009C59E5"/>
    <w:rsid w:val="00A6043F"/>
    <w:rsid w:val="00A76ACE"/>
    <w:rsid w:val="00A81219"/>
    <w:rsid w:val="00A87BC0"/>
    <w:rsid w:val="00AA15FC"/>
    <w:rsid w:val="00AE599A"/>
    <w:rsid w:val="00B262E4"/>
    <w:rsid w:val="00B3126E"/>
    <w:rsid w:val="00B45D4F"/>
    <w:rsid w:val="00B46F88"/>
    <w:rsid w:val="00B64B29"/>
    <w:rsid w:val="00B67374"/>
    <w:rsid w:val="00B81EFB"/>
    <w:rsid w:val="00BA47C2"/>
    <w:rsid w:val="00BF04D1"/>
    <w:rsid w:val="00BF33B9"/>
    <w:rsid w:val="00C12DA4"/>
    <w:rsid w:val="00C463B5"/>
    <w:rsid w:val="00C53132"/>
    <w:rsid w:val="00C552A1"/>
    <w:rsid w:val="00C81A50"/>
    <w:rsid w:val="00C83754"/>
    <w:rsid w:val="00CC77F2"/>
    <w:rsid w:val="00CE4FE6"/>
    <w:rsid w:val="00CF7BA2"/>
    <w:rsid w:val="00D0317B"/>
    <w:rsid w:val="00D11579"/>
    <w:rsid w:val="00D376F7"/>
    <w:rsid w:val="00D61A5E"/>
    <w:rsid w:val="00DC25D3"/>
    <w:rsid w:val="00DC5457"/>
    <w:rsid w:val="00DE1035"/>
    <w:rsid w:val="00DE3272"/>
    <w:rsid w:val="00DF5E12"/>
    <w:rsid w:val="00E12071"/>
    <w:rsid w:val="00E41C07"/>
    <w:rsid w:val="00E44100"/>
    <w:rsid w:val="00EC617F"/>
    <w:rsid w:val="00ED0F4B"/>
    <w:rsid w:val="00ED3C5C"/>
    <w:rsid w:val="00ED7725"/>
    <w:rsid w:val="00EF31A5"/>
    <w:rsid w:val="00FE5167"/>
    <w:rsid w:val="00FE7A00"/>
    <w:rsid w:val="0CB26A97"/>
    <w:rsid w:val="0EB732C6"/>
    <w:rsid w:val="0F323FB0"/>
    <w:rsid w:val="1E477836"/>
    <w:rsid w:val="255B394B"/>
    <w:rsid w:val="2C8A7598"/>
    <w:rsid w:val="2E2B1AC2"/>
    <w:rsid w:val="351D5A2E"/>
    <w:rsid w:val="3A791B3B"/>
    <w:rsid w:val="488B787D"/>
    <w:rsid w:val="50D031AD"/>
    <w:rsid w:val="510A5DA3"/>
    <w:rsid w:val="525F231B"/>
    <w:rsid w:val="5ACF69F4"/>
    <w:rsid w:val="5D175284"/>
    <w:rsid w:val="6C050F52"/>
    <w:rsid w:val="736D7B0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ocked="1"/>
    <w:lsdException w:unhideWhenUsed="0" w:uiPriority="0" w:semiHidden="0" w:name="index 2" w:locked="1"/>
    <w:lsdException w:unhideWhenUsed="0" w:uiPriority="0" w:semiHidden="0" w:name="index 3" w:locked="1"/>
    <w:lsdException w:unhideWhenUsed="0" w:uiPriority="0" w:semiHidden="0" w:name="index 4" w:locked="1"/>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nhideWhenUsed="0" w:uiPriority="0" w:semiHidden="0" w:name="List Bullet 4" w:locked="1"/>
    <w:lsdException w:uiPriority="99" w:name="List Bullet 5"/>
    <w:lsdException w:uiPriority="99" w:name="List Number 2"/>
    <w:lsdException w:unhideWhenUsed="0" w:uiPriority="0" w:semiHidden="0" w:name="List Number 3" w:locked="1"/>
    <w:lsdException w:unhideWhenUsed="0" w:uiPriority="0" w:semiHidden="0" w:name="List Number 4" w:locked="1"/>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nhideWhenUsed="0" w:uiPriority="0" w:semiHidden="0" w:name="Body Text 3" w:locked="1"/>
    <w:lsdException w:qFormat="1" w:unhideWhenUsed="0" w:uiPriority="99" w:semiHidden="0" w:name="Body Text Indent 2"/>
    <w:lsdException w:unhideWhenUsed="0" w:uiPriority="0" w:semiHidden="0" w:name="Body Text Indent 3" w:locked="1"/>
    <w:lsdException w:unhideWhenUsed="0" w:uiPriority="0" w:semiHidden="0" w:name="Block Text" w:locked="1"/>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7"/>
    <w:qFormat/>
    <w:uiPriority w:val="99"/>
    <w:pPr>
      <w:keepNext/>
      <w:keepLines/>
      <w:pageBreakBefore/>
      <w:spacing w:after="240"/>
      <w:jc w:val="center"/>
      <w:outlineLvl w:val="0"/>
    </w:pPr>
    <w:rPr>
      <w:rFonts w:eastAsia="黑体"/>
      <w:kern w:val="44"/>
      <w:sz w:val="48"/>
      <w:szCs w:val="48"/>
    </w:rPr>
  </w:style>
  <w:style w:type="paragraph" w:styleId="3">
    <w:name w:val="heading 2"/>
    <w:basedOn w:val="1"/>
    <w:next w:val="1"/>
    <w:link w:val="18"/>
    <w:qFormat/>
    <w:uiPriority w:val="99"/>
    <w:pPr>
      <w:keepNext/>
      <w:keepLines/>
      <w:spacing w:before="120" w:after="120"/>
      <w:jc w:val="left"/>
      <w:outlineLvl w:val="1"/>
    </w:pPr>
    <w:rPr>
      <w:rFonts w:ascii="Arial" w:hAnsi="Arial" w:eastAsia="黑体" w:cs="Arial"/>
      <w:sz w:val="28"/>
      <w:szCs w:val="28"/>
    </w:rPr>
  </w:style>
  <w:style w:type="paragraph" w:styleId="4">
    <w:name w:val="heading 3"/>
    <w:basedOn w:val="1"/>
    <w:next w:val="1"/>
    <w:link w:val="19"/>
    <w:qFormat/>
    <w:uiPriority w:val="99"/>
    <w:pPr>
      <w:keepNext/>
      <w:keepLines/>
      <w:spacing w:after="120"/>
      <w:jc w:val="center"/>
      <w:outlineLvl w:val="2"/>
    </w:pPr>
    <w:rPr>
      <w:rFonts w:eastAsia="黑体"/>
      <w:sz w:val="28"/>
      <w:szCs w:val="28"/>
    </w:rPr>
  </w:style>
  <w:style w:type="character" w:default="1" w:styleId="13">
    <w:name w:val="Default Paragraph Font"/>
    <w:unhideWhenUsed/>
    <w:qFormat/>
    <w:uiPriority w:val="1"/>
  </w:style>
  <w:style w:type="table" w:default="1" w:styleId="16">
    <w:name w:val="Normal Table"/>
    <w:unhideWhenUsed/>
    <w:qFormat/>
    <w:uiPriority w:val="99"/>
    <w:tblPr>
      <w:tblLayout w:type="fixed"/>
      <w:tblCellMar>
        <w:top w:w="0" w:type="dxa"/>
        <w:left w:w="108" w:type="dxa"/>
        <w:bottom w:w="0" w:type="dxa"/>
        <w:right w:w="108" w:type="dxa"/>
      </w:tblCellMar>
    </w:tblPr>
  </w:style>
  <w:style w:type="paragraph" w:styleId="5">
    <w:name w:val="annotation text"/>
    <w:basedOn w:val="1"/>
    <w:link w:val="20"/>
    <w:semiHidden/>
    <w:qFormat/>
    <w:uiPriority w:val="99"/>
    <w:pPr>
      <w:jc w:val="left"/>
    </w:pPr>
  </w:style>
  <w:style w:type="paragraph" w:styleId="6">
    <w:name w:val="Body Text Indent"/>
    <w:basedOn w:val="1"/>
    <w:link w:val="21"/>
    <w:qFormat/>
    <w:uiPriority w:val="99"/>
    <w:pPr>
      <w:autoSpaceDE w:val="0"/>
      <w:autoSpaceDN w:val="0"/>
      <w:adjustRightInd w:val="0"/>
      <w:ind w:firstLine="420" w:firstLineChars="200"/>
      <w:jc w:val="left"/>
    </w:pPr>
    <w:rPr>
      <w:sz w:val="24"/>
      <w:szCs w:val="24"/>
    </w:rPr>
  </w:style>
  <w:style w:type="paragraph" w:styleId="7">
    <w:name w:val="Body Text Indent 2"/>
    <w:basedOn w:val="1"/>
    <w:link w:val="22"/>
    <w:qFormat/>
    <w:uiPriority w:val="99"/>
    <w:pPr>
      <w:spacing w:after="120" w:line="480" w:lineRule="auto"/>
      <w:ind w:left="420" w:leftChars="200"/>
    </w:pPr>
  </w:style>
  <w:style w:type="paragraph" w:styleId="8">
    <w:name w:val="Balloon Text"/>
    <w:basedOn w:val="1"/>
    <w:link w:val="27"/>
    <w:semiHidden/>
    <w:qFormat/>
    <w:uiPriority w:val="99"/>
    <w:rPr>
      <w:sz w:val="18"/>
      <w:szCs w:val="18"/>
    </w:rPr>
  </w:style>
  <w:style w:type="paragraph" w:styleId="9">
    <w:name w:val="footer"/>
    <w:basedOn w:val="1"/>
    <w:link w:val="23"/>
    <w:qFormat/>
    <w:uiPriority w:val="99"/>
    <w:pPr>
      <w:tabs>
        <w:tab w:val="center" w:pos="4252"/>
        <w:tab w:val="right" w:pos="8504"/>
      </w:tabs>
      <w:snapToGrid w:val="0"/>
    </w:pPr>
  </w:style>
  <w:style w:type="paragraph" w:styleId="10">
    <w:name w:val="header"/>
    <w:basedOn w:val="1"/>
    <w:link w:val="24"/>
    <w:qFormat/>
    <w:uiPriority w:val="99"/>
    <w:pPr>
      <w:tabs>
        <w:tab w:val="center" w:pos="4252"/>
        <w:tab w:val="right" w:pos="8504"/>
      </w:tabs>
      <w:snapToGrid w:val="0"/>
    </w:p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2">
    <w:name w:val="Title"/>
    <w:basedOn w:val="1"/>
    <w:link w:val="25"/>
    <w:qFormat/>
    <w:uiPriority w:val="99"/>
    <w:pPr>
      <w:pageBreakBefore/>
      <w:spacing w:before="240" w:after="60"/>
      <w:jc w:val="center"/>
      <w:outlineLvl w:val="0"/>
    </w:pPr>
    <w:rPr>
      <w:rFonts w:ascii="Arial" w:hAnsi="Arial" w:eastAsia="黑体" w:cs="Arial"/>
      <w:sz w:val="48"/>
      <w:szCs w:val="48"/>
    </w:rPr>
  </w:style>
  <w:style w:type="character" w:styleId="14">
    <w:name w:val="page number"/>
    <w:basedOn w:val="13"/>
    <w:qFormat/>
    <w:uiPriority w:val="99"/>
  </w:style>
  <w:style w:type="character" w:styleId="15">
    <w:name w:val="annotation reference"/>
    <w:basedOn w:val="13"/>
    <w:semiHidden/>
    <w:qFormat/>
    <w:uiPriority w:val="99"/>
    <w:rPr>
      <w:sz w:val="21"/>
      <w:szCs w:val="21"/>
    </w:rPr>
  </w:style>
  <w:style w:type="character" w:customStyle="1" w:styleId="17">
    <w:name w:val="标题 1字符"/>
    <w:basedOn w:val="13"/>
    <w:link w:val="2"/>
    <w:qFormat/>
    <w:uiPriority w:val="9"/>
    <w:rPr>
      <w:b/>
      <w:bCs/>
      <w:kern w:val="44"/>
      <w:sz w:val="44"/>
      <w:szCs w:val="44"/>
    </w:rPr>
  </w:style>
  <w:style w:type="character" w:customStyle="1" w:styleId="18">
    <w:name w:val="标题 2字符"/>
    <w:basedOn w:val="13"/>
    <w:link w:val="3"/>
    <w:semiHidden/>
    <w:qFormat/>
    <w:uiPriority w:val="9"/>
    <w:rPr>
      <w:rFonts w:asciiTheme="majorHAnsi" w:hAnsiTheme="majorHAnsi" w:eastAsiaTheme="majorEastAsia" w:cstheme="majorBidi"/>
      <w:b/>
      <w:bCs/>
      <w:sz w:val="32"/>
      <w:szCs w:val="32"/>
    </w:rPr>
  </w:style>
  <w:style w:type="character" w:customStyle="1" w:styleId="19">
    <w:name w:val="标题 3字符"/>
    <w:basedOn w:val="13"/>
    <w:link w:val="4"/>
    <w:semiHidden/>
    <w:qFormat/>
    <w:uiPriority w:val="9"/>
    <w:rPr>
      <w:b/>
      <w:bCs/>
      <w:sz w:val="32"/>
      <w:szCs w:val="32"/>
    </w:rPr>
  </w:style>
  <w:style w:type="character" w:customStyle="1" w:styleId="20">
    <w:name w:val="注释文本字符"/>
    <w:basedOn w:val="13"/>
    <w:link w:val="5"/>
    <w:semiHidden/>
    <w:qFormat/>
    <w:uiPriority w:val="99"/>
    <w:rPr>
      <w:szCs w:val="21"/>
    </w:rPr>
  </w:style>
  <w:style w:type="character" w:customStyle="1" w:styleId="21">
    <w:name w:val="正文文本缩进字符"/>
    <w:basedOn w:val="13"/>
    <w:link w:val="6"/>
    <w:semiHidden/>
    <w:qFormat/>
    <w:uiPriority w:val="99"/>
    <w:rPr>
      <w:szCs w:val="21"/>
    </w:rPr>
  </w:style>
  <w:style w:type="character" w:customStyle="1" w:styleId="22">
    <w:name w:val="正文文本缩进 2字符"/>
    <w:basedOn w:val="13"/>
    <w:link w:val="7"/>
    <w:qFormat/>
    <w:locked/>
    <w:uiPriority w:val="99"/>
    <w:rPr>
      <w:kern w:val="2"/>
      <w:sz w:val="24"/>
      <w:szCs w:val="24"/>
    </w:rPr>
  </w:style>
  <w:style w:type="character" w:customStyle="1" w:styleId="23">
    <w:name w:val="页脚字符"/>
    <w:basedOn w:val="13"/>
    <w:link w:val="9"/>
    <w:qFormat/>
    <w:locked/>
    <w:uiPriority w:val="99"/>
    <w:rPr>
      <w:kern w:val="2"/>
      <w:sz w:val="24"/>
      <w:szCs w:val="24"/>
      <w:lang w:eastAsia="zh-CN"/>
    </w:rPr>
  </w:style>
  <w:style w:type="character" w:customStyle="1" w:styleId="24">
    <w:name w:val="页眉字符"/>
    <w:basedOn w:val="13"/>
    <w:link w:val="10"/>
    <w:qFormat/>
    <w:locked/>
    <w:uiPriority w:val="99"/>
    <w:rPr>
      <w:kern w:val="2"/>
      <w:sz w:val="24"/>
      <w:szCs w:val="24"/>
      <w:lang w:eastAsia="zh-CN"/>
    </w:rPr>
  </w:style>
  <w:style w:type="character" w:customStyle="1" w:styleId="25">
    <w:name w:val="标题字符"/>
    <w:basedOn w:val="13"/>
    <w:link w:val="12"/>
    <w:qFormat/>
    <w:uiPriority w:val="10"/>
    <w:rPr>
      <w:rFonts w:asciiTheme="majorHAnsi" w:hAnsiTheme="majorHAnsi" w:cstheme="majorBidi"/>
      <w:b/>
      <w:bCs/>
      <w:sz w:val="32"/>
      <w:szCs w:val="32"/>
    </w:rPr>
  </w:style>
  <w:style w:type="paragraph" w:customStyle="1" w:styleId="26">
    <w:name w:val="xl57"/>
    <w:basedOn w:val="1"/>
    <w:qFormat/>
    <w:uiPriority w:val="99"/>
    <w:pPr>
      <w:widowControl/>
      <w:pBdr>
        <w:left w:val="single" w:color="auto" w:sz="4" w:space="0"/>
        <w:right w:val="single" w:color="auto" w:sz="4" w:space="0"/>
      </w:pBdr>
      <w:spacing w:before="100" w:beforeAutospacing="1" w:after="100" w:afterAutospacing="1"/>
      <w:jc w:val="center"/>
    </w:pPr>
    <w:rPr>
      <w:kern w:val="0"/>
    </w:rPr>
  </w:style>
  <w:style w:type="character" w:customStyle="1" w:styleId="27">
    <w:name w:val="批注框文本字符"/>
    <w:basedOn w:val="13"/>
    <w:link w:val="8"/>
    <w:semiHidden/>
    <w:qFormat/>
    <w:uiPriority w:val="99"/>
    <w:rPr>
      <w:sz w:val="0"/>
      <w:szCs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3</Pages>
  <Words>454</Words>
  <Characters>2588</Characters>
  <Lines>21</Lines>
  <Paragraphs>6</Paragraphs>
  <TotalTime>0</TotalTime>
  <ScaleCrop>false</ScaleCrop>
  <LinksUpToDate>false</LinksUpToDate>
  <CharactersWithSpaces>3036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2013-04-21T06:50:00Z</dcterms:created>
  <dc:creator>王真慧</dc:creator>
  <cp:lastModifiedBy>游遊</cp:lastModifiedBy>
  <dcterms:modified xsi:type="dcterms:W3CDTF">2018-08-09T14:31:37Z</dcterms:modified>
  <dc:title>旅游管理专业培养计划</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